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B2D7B" w14:textId="2E5B8127" w:rsidR="000136B2" w:rsidRPr="00FB6BFF" w:rsidRDefault="000136B2" w:rsidP="00BA1B4C">
      <w:pPr>
        <w:pStyle w:val="Akapitzlist"/>
        <w:spacing w:before="120" w:after="120" w:line="240" w:lineRule="auto"/>
        <w:ind w:left="0"/>
        <w:jc w:val="both"/>
        <w:rPr>
          <w:b/>
          <w:bCs/>
          <w:u w:val="single"/>
        </w:rPr>
      </w:pPr>
      <w:bookmarkStart w:id="0" w:name="_GoBack"/>
      <w:bookmarkEnd w:id="0"/>
      <w:r w:rsidRPr="00FB6BFF">
        <w:rPr>
          <w:b/>
          <w:bCs/>
          <w:u w:val="single"/>
        </w:rPr>
        <w:t>Sporządzanie bibliografii</w:t>
      </w:r>
      <w:r w:rsidR="00EB5EF5" w:rsidRPr="00FB6BFF">
        <w:rPr>
          <w:b/>
          <w:bCs/>
          <w:u w:val="single"/>
        </w:rPr>
        <w:t xml:space="preserve"> (dla tekstów w języku polskim)</w:t>
      </w:r>
    </w:p>
    <w:p w14:paraId="51FCB12F" w14:textId="77777777" w:rsidR="000136B2" w:rsidRPr="00FB6BFF" w:rsidRDefault="000136B2" w:rsidP="00BA1B4C">
      <w:pPr>
        <w:pStyle w:val="Akapitzlist"/>
        <w:spacing w:before="120" w:after="120" w:line="240" w:lineRule="auto"/>
        <w:ind w:left="0"/>
        <w:jc w:val="both"/>
        <w:rPr>
          <w:b/>
          <w:bCs/>
        </w:rPr>
      </w:pPr>
    </w:p>
    <w:p w14:paraId="66262852" w14:textId="77777777" w:rsidR="000136B2" w:rsidRPr="00FB6BFF" w:rsidRDefault="000136B2" w:rsidP="00BA1B4C">
      <w:pPr>
        <w:pStyle w:val="Akapitzlist"/>
        <w:spacing w:before="120" w:after="120" w:line="240" w:lineRule="auto"/>
        <w:ind w:left="0"/>
        <w:jc w:val="both"/>
        <w:rPr>
          <w:b/>
          <w:bCs/>
        </w:rPr>
      </w:pPr>
      <w:r w:rsidRPr="00FB6BFF">
        <w:rPr>
          <w:b/>
          <w:bCs/>
        </w:rPr>
        <w:t>Książki</w:t>
      </w:r>
    </w:p>
    <w:p w14:paraId="60E5C03B" w14:textId="77777777" w:rsidR="000136B2" w:rsidRPr="00FB6BFF" w:rsidRDefault="000136B2" w:rsidP="00BA1B4C">
      <w:pPr>
        <w:pStyle w:val="Akapitzlis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120" w:line="240" w:lineRule="auto"/>
        <w:ind w:left="0"/>
        <w:jc w:val="both"/>
        <w:rPr>
          <w:b/>
          <w:bCs/>
          <w:sz w:val="20"/>
        </w:rPr>
      </w:pPr>
      <w:r w:rsidRPr="00FB6BFF">
        <w:rPr>
          <w:b/>
          <w:bCs/>
          <w:sz w:val="20"/>
        </w:rPr>
        <w:t>Prosimy zwrócić uwagę:</w:t>
      </w:r>
    </w:p>
    <w:p w14:paraId="690C8D98" w14:textId="6412D231" w:rsidR="000136B2" w:rsidRPr="00FB6BFF" w:rsidRDefault="00203BE8" w:rsidP="00BA1B4C">
      <w:pPr>
        <w:pStyle w:val="Akapitzlist"/>
        <w:numPr>
          <w:ilvl w:val="0"/>
          <w:numId w:val="13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120" w:line="240" w:lineRule="auto"/>
        <w:jc w:val="both"/>
        <w:rPr>
          <w:bCs/>
          <w:sz w:val="20"/>
        </w:rPr>
      </w:pPr>
      <w:r w:rsidRPr="00FB6BFF">
        <w:rPr>
          <w:bCs/>
          <w:sz w:val="20"/>
        </w:rPr>
        <w:t>t</w:t>
      </w:r>
      <w:r w:rsidR="000136B2" w:rsidRPr="00FB6BFF">
        <w:rPr>
          <w:bCs/>
          <w:sz w:val="20"/>
        </w:rPr>
        <w:t>ytuł</w:t>
      </w:r>
      <w:r w:rsidR="002116BD" w:rsidRPr="00FB6BFF">
        <w:rPr>
          <w:bCs/>
          <w:sz w:val="20"/>
        </w:rPr>
        <w:t xml:space="preserve"> i podtytuł</w:t>
      </w:r>
      <w:r w:rsidR="000136B2" w:rsidRPr="00FB6BFF">
        <w:rPr>
          <w:bCs/>
          <w:sz w:val="20"/>
        </w:rPr>
        <w:t xml:space="preserve"> książki zapisywan</w:t>
      </w:r>
      <w:r w:rsidR="002116BD" w:rsidRPr="00FB6BFF">
        <w:rPr>
          <w:bCs/>
          <w:sz w:val="20"/>
        </w:rPr>
        <w:t>e</w:t>
      </w:r>
      <w:r w:rsidR="000136B2" w:rsidRPr="00FB6BFF">
        <w:rPr>
          <w:bCs/>
          <w:sz w:val="20"/>
        </w:rPr>
        <w:t xml:space="preserve"> kursywą</w:t>
      </w:r>
    </w:p>
    <w:p w14:paraId="32BBF2C7" w14:textId="5B72E18C" w:rsidR="00D0460F" w:rsidRPr="00FB6BFF" w:rsidRDefault="000136B2" w:rsidP="00B07683">
      <w:pPr>
        <w:pStyle w:val="Akapitzlist"/>
        <w:numPr>
          <w:ilvl w:val="0"/>
          <w:numId w:val="13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120" w:line="240" w:lineRule="auto"/>
        <w:jc w:val="both"/>
        <w:rPr>
          <w:bCs/>
          <w:sz w:val="20"/>
        </w:rPr>
      </w:pPr>
      <w:r w:rsidRPr="00FB6BFF">
        <w:rPr>
          <w:bCs/>
          <w:sz w:val="20"/>
        </w:rPr>
        <w:t>w przypadku książki polskiej tytuł główny i podtytuł rozdzielone kropką</w:t>
      </w:r>
      <w:r w:rsidR="00B07683" w:rsidRPr="00FB6BFF">
        <w:rPr>
          <w:bCs/>
          <w:sz w:val="20"/>
        </w:rPr>
        <w:t xml:space="preserve"> </w:t>
      </w:r>
    </w:p>
    <w:p w14:paraId="1F4A8E9E" w14:textId="14059568" w:rsidR="000136B2" w:rsidRPr="00FB6BFF" w:rsidRDefault="000136B2" w:rsidP="00B07683">
      <w:pPr>
        <w:pStyle w:val="Akapitzlist"/>
        <w:numPr>
          <w:ilvl w:val="0"/>
          <w:numId w:val="13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120" w:line="240" w:lineRule="auto"/>
        <w:jc w:val="both"/>
        <w:rPr>
          <w:bCs/>
          <w:sz w:val="20"/>
        </w:rPr>
      </w:pPr>
      <w:r w:rsidRPr="00FB6BFF">
        <w:rPr>
          <w:bCs/>
          <w:sz w:val="20"/>
        </w:rPr>
        <w:t xml:space="preserve">w przypadku książki </w:t>
      </w:r>
      <w:r w:rsidR="00D0460F" w:rsidRPr="00FB6BFF">
        <w:rPr>
          <w:bCs/>
          <w:sz w:val="20"/>
        </w:rPr>
        <w:t>obc</w:t>
      </w:r>
      <w:r w:rsidR="00FF6B19" w:rsidRPr="00FB6BFF">
        <w:rPr>
          <w:bCs/>
          <w:sz w:val="20"/>
        </w:rPr>
        <w:t>o</w:t>
      </w:r>
      <w:r w:rsidRPr="00FB6BFF">
        <w:rPr>
          <w:bCs/>
          <w:sz w:val="20"/>
        </w:rPr>
        <w:t xml:space="preserve">języcznej </w:t>
      </w:r>
      <w:r w:rsidR="00D0460F" w:rsidRPr="00FB6BFF">
        <w:rPr>
          <w:bCs/>
          <w:sz w:val="20"/>
        </w:rPr>
        <w:t xml:space="preserve">stosujemy zapis właściwy dla danego języka (np. w przypadku książki anglojęzycznej tytuł główny i podtytuł rozdzielone </w:t>
      </w:r>
      <w:r w:rsidRPr="00FB6BFF">
        <w:rPr>
          <w:bCs/>
          <w:sz w:val="20"/>
        </w:rPr>
        <w:t>dwukropkiem</w:t>
      </w:r>
      <w:r w:rsidR="00D0460F" w:rsidRPr="00FB6BFF">
        <w:rPr>
          <w:bCs/>
          <w:sz w:val="20"/>
        </w:rPr>
        <w:t>)</w:t>
      </w:r>
    </w:p>
    <w:p w14:paraId="77243874" w14:textId="13301A4B" w:rsidR="002F2B99" w:rsidRPr="00FB6BFF" w:rsidRDefault="00911CD8" w:rsidP="002F2B99">
      <w:pPr>
        <w:pStyle w:val="Akapitzlist"/>
        <w:numPr>
          <w:ilvl w:val="0"/>
          <w:numId w:val="13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120" w:line="240" w:lineRule="auto"/>
        <w:jc w:val="both"/>
        <w:rPr>
          <w:b/>
          <w:sz w:val="20"/>
          <w:szCs w:val="20"/>
        </w:rPr>
      </w:pPr>
      <w:r w:rsidRPr="00FB6BFF">
        <w:rPr>
          <w:sz w:val="20"/>
          <w:szCs w:val="20"/>
        </w:rPr>
        <w:t>numer DOI (jeśli książka go posiada) należy podać po tytule (po kropce); wówczas nie należy już podawać miejsca wydania oraz wydawnictw</w:t>
      </w:r>
      <w:r w:rsidR="002F2B99" w:rsidRPr="00FB6BFF">
        <w:rPr>
          <w:sz w:val="20"/>
          <w:szCs w:val="20"/>
        </w:rPr>
        <w:t>a</w:t>
      </w:r>
    </w:p>
    <w:p w14:paraId="0A4DF455" w14:textId="1C335251" w:rsidR="000136B2" w:rsidRPr="00FB6BFF" w:rsidRDefault="00CA6860" w:rsidP="002F2B99">
      <w:pPr>
        <w:pStyle w:val="Akapitzlist"/>
        <w:numPr>
          <w:ilvl w:val="0"/>
          <w:numId w:val="3"/>
        </w:numPr>
        <w:spacing w:before="120" w:after="120" w:line="240" w:lineRule="auto"/>
        <w:ind w:left="0"/>
        <w:jc w:val="both"/>
        <w:rPr>
          <w:b/>
        </w:rPr>
      </w:pPr>
      <w:r w:rsidRPr="00FB6BFF">
        <w:rPr>
          <w:b/>
        </w:rPr>
        <w:t>autorska</w:t>
      </w:r>
      <w:r w:rsidR="00FF6B19" w:rsidRPr="00FB6BFF">
        <w:rPr>
          <w:b/>
        </w:rPr>
        <w:t>, polska</w:t>
      </w:r>
    </w:p>
    <w:p w14:paraId="6BA30571" w14:textId="775C5BBC" w:rsidR="000136B2" w:rsidRPr="00FB6BFF" w:rsidRDefault="000136B2" w:rsidP="00BA1B4C">
      <w:pPr>
        <w:pStyle w:val="Akapitzlist"/>
        <w:spacing w:before="120" w:after="120" w:line="240" w:lineRule="auto"/>
        <w:jc w:val="both"/>
      </w:pPr>
      <w:r w:rsidRPr="00FB6BFF">
        <w:t xml:space="preserve">Papuzińska, J. (2008). </w:t>
      </w:r>
      <w:r w:rsidRPr="00FB6BFF">
        <w:rPr>
          <w:i/>
        </w:rPr>
        <w:t>Zatopione królestwo. O polskiej literaturze fantastycznej XX wieku dla dzieci i młodzieży</w:t>
      </w:r>
      <w:r w:rsidR="008907B2" w:rsidRPr="00FB6BFF">
        <w:t xml:space="preserve"> (wyd. 2</w:t>
      </w:r>
      <w:r w:rsidR="005E479B" w:rsidRPr="00FB6BFF">
        <w:t xml:space="preserve"> rozsz.)</w:t>
      </w:r>
      <w:r w:rsidRPr="00FB6BFF">
        <w:t>. Łódź: Literatura.</w:t>
      </w:r>
    </w:p>
    <w:p w14:paraId="27F871D3" w14:textId="2194099F" w:rsidR="00FF6B19" w:rsidRPr="00FB6BFF" w:rsidRDefault="00FF6B19" w:rsidP="00BA1B4C">
      <w:pPr>
        <w:pStyle w:val="Akapitzlist"/>
        <w:numPr>
          <w:ilvl w:val="0"/>
          <w:numId w:val="3"/>
        </w:numPr>
        <w:spacing w:before="120" w:after="120" w:line="240" w:lineRule="auto"/>
        <w:ind w:left="0"/>
        <w:jc w:val="both"/>
        <w:rPr>
          <w:rStyle w:val="addmd"/>
          <w:b/>
          <w:lang w:val="en-US"/>
        </w:rPr>
      </w:pPr>
      <w:r w:rsidRPr="00FB6BFF">
        <w:rPr>
          <w:rStyle w:val="addmd"/>
          <w:b/>
          <w:lang w:val="en-US"/>
        </w:rPr>
        <w:t>autorska, anglojęzyczna</w:t>
      </w:r>
    </w:p>
    <w:p w14:paraId="79E44B36" w14:textId="39D92424" w:rsidR="00186F51" w:rsidRPr="00FB6BFF" w:rsidRDefault="00186F51" w:rsidP="00BA1B4C">
      <w:pPr>
        <w:pStyle w:val="Akapitzlist"/>
        <w:spacing w:before="120" w:after="120" w:line="240" w:lineRule="auto"/>
        <w:jc w:val="both"/>
        <w:rPr>
          <w:lang w:val="en-US"/>
        </w:rPr>
      </w:pPr>
      <w:r w:rsidRPr="00FB6BFF">
        <w:rPr>
          <w:lang w:val="en-US"/>
        </w:rPr>
        <w:t xml:space="preserve">Zipes, J. (2006). </w:t>
      </w:r>
      <w:r w:rsidRPr="00FB6BFF">
        <w:rPr>
          <w:i/>
          <w:lang w:val="en-US"/>
        </w:rPr>
        <w:t>Why fairy tales stick: The</w:t>
      </w:r>
      <w:r w:rsidR="00463760" w:rsidRPr="00FB6BFF">
        <w:rPr>
          <w:i/>
          <w:lang w:val="en-US"/>
        </w:rPr>
        <w:t xml:space="preserve"> e</w:t>
      </w:r>
      <w:r w:rsidRPr="00FB6BFF">
        <w:rPr>
          <w:i/>
          <w:lang w:val="en-US"/>
        </w:rPr>
        <w:t xml:space="preserve">volution and </w:t>
      </w:r>
      <w:r w:rsidR="00463760" w:rsidRPr="00FB6BFF">
        <w:rPr>
          <w:i/>
          <w:lang w:val="en-US"/>
        </w:rPr>
        <w:t>r</w:t>
      </w:r>
      <w:r w:rsidRPr="00FB6BFF">
        <w:rPr>
          <w:i/>
          <w:lang w:val="en-US"/>
        </w:rPr>
        <w:t xml:space="preserve">elevance of a </w:t>
      </w:r>
      <w:r w:rsidR="00463760" w:rsidRPr="00FB6BFF">
        <w:rPr>
          <w:i/>
          <w:lang w:val="en-US"/>
        </w:rPr>
        <w:t>g</w:t>
      </w:r>
      <w:r w:rsidRPr="00FB6BFF">
        <w:rPr>
          <w:i/>
          <w:lang w:val="en-US"/>
        </w:rPr>
        <w:t>enre</w:t>
      </w:r>
      <w:r w:rsidRPr="00FB6BFF">
        <w:rPr>
          <w:lang w:val="en-US"/>
        </w:rPr>
        <w:t>. New York, NY</w:t>
      </w:r>
      <w:r w:rsidR="004B30E5" w:rsidRPr="00FB6BFF">
        <w:rPr>
          <w:lang w:val="en-US"/>
        </w:rPr>
        <w:t>,</w:t>
      </w:r>
      <w:r w:rsidR="00463760" w:rsidRPr="00FB6BFF">
        <w:rPr>
          <w:lang w:val="en-US"/>
        </w:rPr>
        <w:t xml:space="preserve"> </w:t>
      </w:r>
      <w:r w:rsidRPr="00FB6BFF">
        <w:rPr>
          <w:lang w:val="en-US"/>
        </w:rPr>
        <w:t>London: Routledge.</w:t>
      </w:r>
    </w:p>
    <w:p w14:paraId="19EE7F23" w14:textId="46AC3B49" w:rsidR="004B30E5" w:rsidRPr="00FB6BFF" w:rsidRDefault="00EB5EF5" w:rsidP="004B30E5">
      <w:pPr>
        <w:pStyle w:val="Akapitzlist"/>
        <w:numPr>
          <w:ilvl w:val="0"/>
          <w:numId w:val="3"/>
        </w:numPr>
        <w:spacing w:before="120" w:after="120" w:line="240" w:lineRule="auto"/>
        <w:ind w:left="0"/>
        <w:jc w:val="both"/>
        <w:rPr>
          <w:rStyle w:val="addmd"/>
          <w:b/>
          <w:lang w:val="en-US"/>
        </w:rPr>
      </w:pPr>
      <w:r w:rsidRPr="00FB6BFF">
        <w:rPr>
          <w:rStyle w:val="addmd"/>
          <w:b/>
          <w:lang w:val="en-US"/>
        </w:rPr>
        <w:t>w</w:t>
      </w:r>
      <w:r w:rsidR="004B30E5" w:rsidRPr="00FB6BFF">
        <w:rPr>
          <w:rStyle w:val="addmd"/>
          <w:b/>
          <w:lang w:val="en-US"/>
        </w:rPr>
        <w:t>ieloautorska</w:t>
      </w:r>
    </w:p>
    <w:p w14:paraId="6A28D097" w14:textId="1ABF8F66" w:rsidR="004B30E5" w:rsidRPr="00FB6BFF" w:rsidRDefault="004B30E5" w:rsidP="004B30E5">
      <w:pPr>
        <w:pStyle w:val="Akapitzlist"/>
        <w:spacing w:before="120" w:after="120" w:line="240" w:lineRule="auto"/>
        <w:ind w:left="708"/>
        <w:jc w:val="both"/>
        <w:rPr>
          <w:rStyle w:val="addmd"/>
        </w:rPr>
      </w:pPr>
      <w:r w:rsidRPr="00FB6BFF">
        <w:rPr>
          <w:rStyle w:val="addmd"/>
        </w:rPr>
        <w:t xml:space="preserve">Pieciul-Karmińska, E., Sommerfeld, B., Fimiak-Chwiłkowska, A. (2017). </w:t>
      </w:r>
      <w:r w:rsidRPr="00FB6BFF">
        <w:rPr>
          <w:rStyle w:val="addmd"/>
          <w:i/>
        </w:rPr>
        <w:t>Między manipulacją a autonomicznością estetyczną. Przekład literatury dla dzieci</w:t>
      </w:r>
      <w:r w:rsidRPr="00FB6BFF">
        <w:rPr>
          <w:rStyle w:val="addmd"/>
        </w:rPr>
        <w:t>. Poznań: WN UAM.</w:t>
      </w:r>
    </w:p>
    <w:p w14:paraId="6814B277" w14:textId="5AF5839D" w:rsidR="000136B2" w:rsidRPr="00FB6BFF" w:rsidRDefault="000136B2" w:rsidP="00BA1B4C">
      <w:pPr>
        <w:pStyle w:val="Akapitzlist"/>
        <w:numPr>
          <w:ilvl w:val="0"/>
          <w:numId w:val="3"/>
        </w:numPr>
        <w:spacing w:before="120" w:after="120" w:line="240" w:lineRule="auto"/>
        <w:ind w:left="0"/>
        <w:jc w:val="both"/>
        <w:rPr>
          <w:b/>
        </w:rPr>
      </w:pPr>
      <w:r w:rsidRPr="00FB6BFF">
        <w:rPr>
          <w:b/>
        </w:rPr>
        <w:t>tłumaczona</w:t>
      </w:r>
    </w:p>
    <w:p w14:paraId="7D0F6727" w14:textId="7C5B1D6F" w:rsidR="000136B2" w:rsidRPr="00FB6BFF" w:rsidRDefault="000136B2" w:rsidP="00BA1B4C">
      <w:pPr>
        <w:pStyle w:val="Akapitzlist"/>
        <w:spacing w:before="120" w:after="120" w:line="240" w:lineRule="auto"/>
        <w:jc w:val="both"/>
      </w:pPr>
      <w:r w:rsidRPr="00FB6BFF">
        <w:t>Ari</w:t>
      </w:r>
      <w:r w:rsidR="00A42FD0" w:rsidRPr="00FB6BFF">
        <w:rPr>
          <w:rFonts w:cs="Calibri"/>
        </w:rPr>
        <w:t>è</w:t>
      </w:r>
      <w:r w:rsidRPr="00FB6BFF">
        <w:t xml:space="preserve">s, P. (1995). </w:t>
      </w:r>
      <w:r w:rsidRPr="00FB6BFF">
        <w:rPr>
          <w:i/>
          <w:iCs/>
        </w:rPr>
        <w:t>Historia dzieciństwa. Dziecko i rodzina w dawnych czasach</w:t>
      </w:r>
      <w:r w:rsidRPr="00FB6BFF">
        <w:t xml:space="preserve"> (M. Ochab, tłum.). Gdańsk: Marabut.</w:t>
      </w:r>
      <w:r w:rsidR="005E479B" w:rsidRPr="00FB6BFF">
        <w:t xml:space="preserve"> (wyd. oryg. 1960)</w:t>
      </w:r>
      <w:r w:rsidR="00452278" w:rsidRPr="00FB6BFF">
        <w:t>.</w:t>
      </w:r>
    </w:p>
    <w:p w14:paraId="29E4B6B5" w14:textId="586B33AA" w:rsidR="009E4971" w:rsidRPr="00FB6BFF" w:rsidRDefault="009E4971" w:rsidP="009E4971">
      <w:pPr>
        <w:pStyle w:val="Akapitzlist"/>
        <w:numPr>
          <w:ilvl w:val="0"/>
          <w:numId w:val="22"/>
        </w:numPr>
        <w:spacing w:before="120" w:after="120" w:line="240" w:lineRule="auto"/>
        <w:jc w:val="both"/>
        <w:rPr>
          <w:sz w:val="18"/>
        </w:rPr>
      </w:pPr>
      <w:r w:rsidRPr="00FB6BFF">
        <w:rPr>
          <w:sz w:val="18"/>
        </w:rPr>
        <w:t>w takim wypadku odsyłacz w tekście ma postać: (Ari</w:t>
      </w:r>
      <w:r w:rsidRPr="00FB6BFF">
        <w:rPr>
          <w:rFonts w:cs="Calibri"/>
          <w:sz w:val="18"/>
        </w:rPr>
        <w:t>è</w:t>
      </w:r>
      <w:r w:rsidRPr="00FB6BFF">
        <w:rPr>
          <w:sz w:val="18"/>
        </w:rPr>
        <w:t>s, 1960/1995)</w:t>
      </w:r>
      <w:r w:rsidR="004B30E5" w:rsidRPr="00FB6BFF">
        <w:rPr>
          <w:sz w:val="18"/>
        </w:rPr>
        <w:t xml:space="preserve">; dotyczy to </w:t>
      </w:r>
      <w:r w:rsidR="007703E3" w:rsidRPr="00FB6BFF">
        <w:rPr>
          <w:sz w:val="18"/>
        </w:rPr>
        <w:t xml:space="preserve">nie tylko tłumaczeń, lecz </w:t>
      </w:r>
      <w:r w:rsidR="004B30E5" w:rsidRPr="00FB6BFF">
        <w:rPr>
          <w:sz w:val="18"/>
        </w:rPr>
        <w:t xml:space="preserve">także </w:t>
      </w:r>
      <w:r w:rsidR="007703E3" w:rsidRPr="00FB6BFF">
        <w:rPr>
          <w:sz w:val="18"/>
        </w:rPr>
        <w:t xml:space="preserve">kolejnych </w:t>
      </w:r>
      <w:r w:rsidR="004B30E5" w:rsidRPr="00FB6BFF">
        <w:rPr>
          <w:sz w:val="18"/>
        </w:rPr>
        <w:t>wydań przywoływanych dzieł.</w:t>
      </w:r>
    </w:p>
    <w:p w14:paraId="52F540E6" w14:textId="740F6269" w:rsidR="000136B2" w:rsidRPr="00FB6BFF" w:rsidRDefault="000136B2" w:rsidP="00BA1B4C">
      <w:pPr>
        <w:pStyle w:val="Akapitzlist"/>
        <w:numPr>
          <w:ilvl w:val="0"/>
          <w:numId w:val="3"/>
        </w:numPr>
        <w:spacing w:before="120" w:after="120" w:line="240" w:lineRule="auto"/>
        <w:ind w:left="0"/>
        <w:jc w:val="both"/>
        <w:rPr>
          <w:b/>
        </w:rPr>
      </w:pPr>
      <w:r w:rsidRPr="00FB6BFF">
        <w:rPr>
          <w:b/>
        </w:rPr>
        <w:t>redagowana</w:t>
      </w:r>
    </w:p>
    <w:p w14:paraId="37E86590" w14:textId="1DD78359" w:rsidR="000136B2" w:rsidRPr="00FB6BFF" w:rsidRDefault="000136B2" w:rsidP="005B3ED3">
      <w:pPr>
        <w:pStyle w:val="Akapitzlist"/>
        <w:spacing w:before="120" w:after="120" w:line="240" w:lineRule="auto"/>
        <w:jc w:val="both"/>
      </w:pPr>
      <w:r w:rsidRPr="00FB6BFF">
        <w:rPr>
          <w:iCs/>
        </w:rPr>
        <w:t xml:space="preserve">Leszczyński, G. (red.). (2011). </w:t>
      </w:r>
      <w:r w:rsidRPr="00FB6BFF">
        <w:rPr>
          <w:i/>
          <w:iCs/>
        </w:rPr>
        <w:t>Sztuka dla dziecka. Tradycja we współczesności</w:t>
      </w:r>
      <w:r w:rsidRPr="00FB6BFF">
        <w:t>. Poznań: Centrum Sztuki Dziecka.</w:t>
      </w:r>
    </w:p>
    <w:p w14:paraId="6FD69CE9" w14:textId="6E701794" w:rsidR="00B93BF7" w:rsidRPr="00FB6BFF" w:rsidRDefault="00B93BF7" w:rsidP="00B93BF7">
      <w:pPr>
        <w:pStyle w:val="Akapitzlist"/>
        <w:numPr>
          <w:ilvl w:val="1"/>
          <w:numId w:val="3"/>
        </w:numPr>
        <w:spacing w:before="120" w:after="120" w:line="240" w:lineRule="auto"/>
        <w:ind w:left="0"/>
        <w:jc w:val="both"/>
        <w:rPr>
          <w:b/>
          <w:bCs/>
        </w:rPr>
      </w:pPr>
      <w:r w:rsidRPr="00FB6BFF">
        <w:rPr>
          <w:b/>
          <w:bCs/>
        </w:rPr>
        <w:t>z numerem DOI</w:t>
      </w:r>
    </w:p>
    <w:p w14:paraId="303CBC27" w14:textId="3B6674E8" w:rsidR="00B93BF7" w:rsidRPr="00FB6BFF" w:rsidRDefault="00B93BF7" w:rsidP="00B93BF7">
      <w:pPr>
        <w:pStyle w:val="Akapitzlist"/>
        <w:spacing w:before="120" w:after="120"/>
        <w:ind w:left="708"/>
        <w:jc w:val="both"/>
        <w:rPr>
          <w:bCs/>
          <w:lang w:val="en-US"/>
        </w:rPr>
      </w:pPr>
      <w:r w:rsidRPr="00FB6BFF">
        <w:rPr>
          <w:bCs/>
          <w:lang w:val="nb-NO"/>
        </w:rPr>
        <w:t>Kümmerling-Meibauer</w:t>
      </w:r>
      <w:r w:rsidRPr="00FB6BFF">
        <w:rPr>
          <w:bCs/>
          <w:lang w:val="en-US"/>
        </w:rPr>
        <w:t xml:space="preserve">, B. (red.). (2011). </w:t>
      </w:r>
      <w:r w:rsidRPr="00FB6BFF">
        <w:rPr>
          <w:bCs/>
          <w:i/>
          <w:lang w:val="en-US"/>
        </w:rPr>
        <w:t xml:space="preserve">Emergent </w:t>
      </w:r>
      <w:r w:rsidR="00463760" w:rsidRPr="00FB6BFF">
        <w:rPr>
          <w:bCs/>
          <w:i/>
          <w:lang w:val="en-US"/>
        </w:rPr>
        <w:t>l</w:t>
      </w:r>
      <w:r w:rsidRPr="00FB6BFF">
        <w:rPr>
          <w:bCs/>
          <w:i/>
          <w:lang w:val="en-US"/>
        </w:rPr>
        <w:t xml:space="preserve">iteracy: Children’s </w:t>
      </w:r>
      <w:r w:rsidR="00463760" w:rsidRPr="00FB6BFF">
        <w:rPr>
          <w:bCs/>
          <w:i/>
          <w:lang w:val="en-US"/>
        </w:rPr>
        <w:t>b</w:t>
      </w:r>
      <w:r w:rsidRPr="00FB6BFF">
        <w:rPr>
          <w:bCs/>
          <w:i/>
          <w:lang w:val="en-US"/>
        </w:rPr>
        <w:t>ooks from 0 to 3</w:t>
      </w:r>
      <w:r w:rsidRPr="00FB6BFF">
        <w:rPr>
          <w:bCs/>
          <w:lang w:val="en-US"/>
        </w:rPr>
        <w:t xml:space="preserve">. </w:t>
      </w:r>
      <w:hyperlink r:id="rId9" w:history="1">
        <w:r w:rsidR="00BC3766" w:rsidRPr="00FB6BFF">
          <w:rPr>
            <w:rStyle w:val="Hipercze"/>
            <w:bCs/>
            <w:lang w:val="en-US"/>
          </w:rPr>
          <w:t>https://doi.org/10.1075/swll.13.01kum</w:t>
        </w:r>
      </w:hyperlink>
      <w:r w:rsidRPr="00FB6BFF">
        <w:rPr>
          <w:bCs/>
          <w:lang w:val="en-US"/>
        </w:rPr>
        <w:t>.</w:t>
      </w:r>
    </w:p>
    <w:p w14:paraId="3F73B58E" w14:textId="2E978E4A" w:rsidR="0075149C" w:rsidRPr="00FB6BFF" w:rsidRDefault="0075149C" w:rsidP="00203BE8">
      <w:pPr>
        <w:pStyle w:val="Akapitzlist"/>
        <w:numPr>
          <w:ilvl w:val="0"/>
          <w:numId w:val="21"/>
        </w:numPr>
        <w:spacing w:before="120" w:after="120"/>
        <w:ind w:left="0" w:firstLine="0"/>
        <w:jc w:val="both"/>
        <w:rPr>
          <w:b/>
          <w:bCs/>
          <w:lang w:val="en-US"/>
        </w:rPr>
      </w:pPr>
      <w:r w:rsidRPr="00FB6BFF">
        <w:rPr>
          <w:b/>
          <w:bCs/>
          <w:lang w:val="en-US"/>
        </w:rPr>
        <w:t>książki na czytniki</w:t>
      </w:r>
    </w:p>
    <w:p w14:paraId="073A8334" w14:textId="30D1D094" w:rsidR="0075149C" w:rsidRPr="00FB6BFF" w:rsidRDefault="0075149C" w:rsidP="00203BE8">
      <w:pPr>
        <w:pStyle w:val="Akapitzlist"/>
        <w:spacing w:before="120" w:after="120"/>
        <w:ind w:left="708"/>
        <w:jc w:val="both"/>
        <w:rPr>
          <w:bCs/>
          <w:lang w:val="en-US"/>
        </w:rPr>
      </w:pPr>
      <w:r w:rsidRPr="00FB6BFF">
        <w:rPr>
          <w:bCs/>
          <w:lang w:val="en-US"/>
        </w:rPr>
        <w:t xml:space="preserve">Gladwell, M. (2008). </w:t>
      </w:r>
      <w:r w:rsidRPr="00FB6BFF">
        <w:rPr>
          <w:bCs/>
          <w:i/>
          <w:lang w:val="en-US"/>
        </w:rPr>
        <w:t>Outliers: The story of success</w:t>
      </w:r>
      <w:r w:rsidRPr="00FB6BFF">
        <w:rPr>
          <w:bCs/>
          <w:lang w:val="en-US"/>
        </w:rPr>
        <w:t xml:space="preserve"> [</w:t>
      </w:r>
      <w:r w:rsidR="00BA7268">
        <w:rPr>
          <w:bCs/>
          <w:lang w:val="en-US"/>
        </w:rPr>
        <w:t xml:space="preserve">wersja na </w:t>
      </w:r>
      <w:r w:rsidRPr="00FB6BFF">
        <w:rPr>
          <w:bCs/>
          <w:lang w:val="en-US"/>
        </w:rPr>
        <w:t>Kindle DX</w:t>
      </w:r>
      <w:r w:rsidR="00BA7268">
        <w:rPr>
          <w:bCs/>
          <w:lang w:val="en-US"/>
        </w:rPr>
        <w:t>].</w:t>
      </w:r>
      <w:r w:rsidRPr="00FB6BFF">
        <w:rPr>
          <w:bCs/>
          <w:lang w:val="en-US"/>
        </w:rPr>
        <w:t xml:space="preserve"> Pobrane z</w:t>
      </w:r>
      <w:r w:rsidR="009E4971" w:rsidRPr="00FB6BFF">
        <w:rPr>
          <w:bCs/>
          <w:lang w:val="en-US"/>
        </w:rPr>
        <w:t xml:space="preserve">: </w:t>
      </w:r>
      <w:hyperlink r:id="rId10" w:history="1">
        <w:r w:rsidR="009E4971" w:rsidRPr="00FB6BFF">
          <w:rPr>
            <w:rStyle w:val="Hipercze"/>
            <w:bCs/>
            <w:lang w:val="en-US"/>
          </w:rPr>
          <w:t>www.amazon.com</w:t>
        </w:r>
      </w:hyperlink>
      <w:r w:rsidR="004B30E5" w:rsidRPr="00FB6BFF">
        <w:rPr>
          <w:bCs/>
          <w:lang w:val="en-US"/>
        </w:rPr>
        <w:t>.</w:t>
      </w:r>
    </w:p>
    <w:p w14:paraId="5D42A9E3" w14:textId="02151D49" w:rsidR="009E4971" w:rsidRPr="00FB6BFF" w:rsidRDefault="009E4971" w:rsidP="009E4971">
      <w:pPr>
        <w:pStyle w:val="Akapitzlist"/>
        <w:numPr>
          <w:ilvl w:val="0"/>
          <w:numId w:val="22"/>
        </w:numPr>
        <w:spacing w:before="120" w:after="120"/>
        <w:jc w:val="both"/>
        <w:rPr>
          <w:bCs/>
          <w:sz w:val="18"/>
          <w:szCs w:val="20"/>
        </w:rPr>
      </w:pPr>
      <w:r w:rsidRPr="00FB6BFF">
        <w:rPr>
          <w:sz w:val="18"/>
          <w:szCs w:val="20"/>
        </w:rPr>
        <w:t>w takim wypadku odsyłacz w tekście ma postać</w:t>
      </w:r>
      <w:r w:rsidRPr="00FB6BFF">
        <w:rPr>
          <w:bCs/>
          <w:sz w:val="18"/>
          <w:szCs w:val="20"/>
        </w:rPr>
        <w:t>: (Kowalski, 2008, Kindle, rozdział 1, sekcja 4.3)</w:t>
      </w:r>
    </w:p>
    <w:p w14:paraId="5D458D76" w14:textId="77777777" w:rsidR="00B93BF7" w:rsidRPr="00FB6BFF" w:rsidRDefault="00B93BF7" w:rsidP="00B93BF7">
      <w:pPr>
        <w:pStyle w:val="Akapitzlist"/>
        <w:spacing w:before="120" w:after="120" w:line="240" w:lineRule="auto"/>
        <w:ind w:left="708"/>
        <w:jc w:val="both"/>
        <w:rPr>
          <w:bCs/>
        </w:rPr>
      </w:pPr>
    </w:p>
    <w:p w14:paraId="698D06B9" w14:textId="77777777" w:rsidR="00BA1B4C" w:rsidRPr="00FB6BFF" w:rsidRDefault="00BA1B4C" w:rsidP="00BA1B4C">
      <w:pPr>
        <w:pStyle w:val="Akapitzlist"/>
        <w:spacing w:before="120" w:after="120" w:line="240" w:lineRule="auto"/>
        <w:ind w:left="0"/>
        <w:jc w:val="both"/>
        <w:rPr>
          <w:b/>
          <w:bCs/>
        </w:rPr>
      </w:pPr>
    </w:p>
    <w:p w14:paraId="5FF80E6C" w14:textId="77777777" w:rsidR="00B31A5D" w:rsidRPr="00FB6BFF" w:rsidRDefault="00B31A5D" w:rsidP="00BA1B4C">
      <w:pPr>
        <w:pStyle w:val="Akapitzlist"/>
        <w:spacing w:before="120" w:after="120" w:line="240" w:lineRule="auto"/>
        <w:ind w:left="0"/>
        <w:jc w:val="both"/>
        <w:rPr>
          <w:b/>
          <w:bCs/>
        </w:rPr>
      </w:pPr>
    </w:p>
    <w:p w14:paraId="4A4E285D" w14:textId="77777777" w:rsidR="00B31A5D" w:rsidRPr="00FB6BFF" w:rsidRDefault="00B31A5D" w:rsidP="00BA1B4C">
      <w:pPr>
        <w:pStyle w:val="Akapitzlist"/>
        <w:spacing w:before="120" w:after="120" w:line="240" w:lineRule="auto"/>
        <w:ind w:left="0"/>
        <w:jc w:val="both"/>
        <w:rPr>
          <w:b/>
          <w:bCs/>
        </w:rPr>
      </w:pPr>
    </w:p>
    <w:p w14:paraId="6247D700" w14:textId="77777777" w:rsidR="000136B2" w:rsidRPr="00FB6BFF" w:rsidRDefault="000136B2" w:rsidP="00BA1B4C">
      <w:pPr>
        <w:pStyle w:val="Akapitzlist"/>
        <w:spacing w:before="120" w:after="120" w:line="240" w:lineRule="auto"/>
        <w:ind w:left="0"/>
        <w:jc w:val="both"/>
        <w:rPr>
          <w:b/>
          <w:bCs/>
        </w:rPr>
      </w:pPr>
      <w:r w:rsidRPr="00FB6BFF">
        <w:rPr>
          <w:b/>
          <w:bCs/>
        </w:rPr>
        <w:lastRenderedPageBreak/>
        <w:t>Rozdziały w książkach</w:t>
      </w:r>
    </w:p>
    <w:p w14:paraId="790FF523" w14:textId="77777777" w:rsidR="000136B2" w:rsidRPr="00FB6BFF" w:rsidRDefault="000136B2" w:rsidP="00BA1B4C">
      <w:pPr>
        <w:pStyle w:val="Akapitzlis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120" w:line="240" w:lineRule="auto"/>
        <w:ind w:left="0"/>
        <w:jc w:val="both"/>
        <w:rPr>
          <w:b/>
          <w:bCs/>
          <w:sz w:val="20"/>
        </w:rPr>
      </w:pPr>
      <w:r w:rsidRPr="00FB6BFF">
        <w:rPr>
          <w:b/>
          <w:bCs/>
          <w:sz w:val="20"/>
        </w:rPr>
        <w:t>Prosimy zwrócić uwagę:</w:t>
      </w:r>
    </w:p>
    <w:p w14:paraId="743C2D42" w14:textId="77777777" w:rsidR="000136B2" w:rsidRPr="00FB6BFF" w:rsidRDefault="000136B2" w:rsidP="00BA1B4C">
      <w:pPr>
        <w:pStyle w:val="Akapitzlist"/>
        <w:numPr>
          <w:ilvl w:val="0"/>
          <w:numId w:val="14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120" w:line="240" w:lineRule="auto"/>
        <w:jc w:val="both"/>
        <w:rPr>
          <w:bCs/>
          <w:sz w:val="20"/>
        </w:rPr>
      </w:pPr>
      <w:r w:rsidRPr="00FB6BFF">
        <w:rPr>
          <w:bCs/>
          <w:sz w:val="20"/>
        </w:rPr>
        <w:t>tytuł rozdziału zapisywany bez kursywy</w:t>
      </w:r>
    </w:p>
    <w:p w14:paraId="0C5B73D0" w14:textId="2B76B853" w:rsidR="00452278" w:rsidRPr="00FB6BFF" w:rsidRDefault="000136B2" w:rsidP="00452278">
      <w:pPr>
        <w:pStyle w:val="Akapitzlist"/>
        <w:numPr>
          <w:ilvl w:val="0"/>
          <w:numId w:val="14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120" w:line="240" w:lineRule="auto"/>
        <w:jc w:val="both"/>
        <w:rPr>
          <w:bCs/>
          <w:sz w:val="20"/>
        </w:rPr>
      </w:pPr>
      <w:r w:rsidRPr="00FB6BFF">
        <w:rPr>
          <w:bCs/>
          <w:sz w:val="20"/>
        </w:rPr>
        <w:t>tytuł książki zapisywany kursywą</w:t>
      </w:r>
    </w:p>
    <w:p w14:paraId="048A16BF" w14:textId="7AA56CDF" w:rsidR="00452278" w:rsidRPr="00FB6BFF" w:rsidRDefault="00452278" w:rsidP="00452278">
      <w:pPr>
        <w:pStyle w:val="Akapitzlist"/>
        <w:numPr>
          <w:ilvl w:val="0"/>
          <w:numId w:val="14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120" w:line="240" w:lineRule="auto"/>
        <w:jc w:val="both"/>
        <w:rPr>
          <w:bCs/>
          <w:sz w:val="20"/>
        </w:rPr>
      </w:pPr>
      <w:r w:rsidRPr="00FB6BFF">
        <w:rPr>
          <w:bCs/>
          <w:sz w:val="20"/>
        </w:rPr>
        <w:t>po tytule książki (nie rozdziału) nawias z zakresem stron, na których znajduje się rozdział; pomiędzy numerami stron jest myślnik (nie dywiz)</w:t>
      </w:r>
    </w:p>
    <w:p w14:paraId="6A6BB56D" w14:textId="77777777" w:rsidR="000136B2" w:rsidRPr="00FB6BFF" w:rsidRDefault="000136B2" w:rsidP="00BA1B4C">
      <w:pPr>
        <w:pStyle w:val="Akapitzlist"/>
        <w:numPr>
          <w:ilvl w:val="0"/>
          <w:numId w:val="3"/>
        </w:numPr>
        <w:spacing w:before="120" w:after="120" w:line="240" w:lineRule="auto"/>
        <w:ind w:left="0"/>
        <w:jc w:val="both"/>
        <w:rPr>
          <w:b/>
        </w:rPr>
      </w:pPr>
      <w:r w:rsidRPr="00FB6BFF">
        <w:rPr>
          <w:b/>
        </w:rPr>
        <w:t>publikacja polska</w:t>
      </w:r>
    </w:p>
    <w:p w14:paraId="411C1274" w14:textId="6D46C8DD" w:rsidR="000136B2" w:rsidRPr="00FB6BFF" w:rsidRDefault="000136B2" w:rsidP="00BA1B4C">
      <w:pPr>
        <w:pStyle w:val="Akapitzlist"/>
        <w:spacing w:before="120" w:after="120" w:line="240" w:lineRule="auto"/>
        <w:jc w:val="both"/>
      </w:pPr>
      <w:r w:rsidRPr="00FB6BFF">
        <w:t xml:space="preserve">Ługowska, J. (2006). </w:t>
      </w:r>
      <w:r w:rsidRPr="00FB6BFF">
        <w:rPr>
          <w:iCs/>
        </w:rPr>
        <w:t>Baśń jako wprowadzenie do myślenia aksjologicznego</w:t>
      </w:r>
      <w:r w:rsidRPr="00FB6BFF">
        <w:t xml:space="preserve">. W: G. Leszczyński (red.), </w:t>
      </w:r>
      <w:r w:rsidRPr="00FB6BFF">
        <w:rPr>
          <w:i/>
          <w:iCs/>
        </w:rPr>
        <w:t>Kulturowe konteksty baśni</w:t>
      </w:r>
      <w:r w:rsidR="00BA7268" w:rsidRPr="00BA7268">
        <w:rPr>
          <w:i/>
        </w:rPr>
        <w:t>. Tom 2.</w:t>
      </w:r>
      <w:r w:rsidRPr="00BA7268">
        <w:rPr>
          <w:i/>
        </w:rPr>
        <w:t xml:space="preserve"> </w:t>
      </w:r>
      <w:r w:rsidRPr="00FB6BFF">
        <w:rPr>
          <w:i/>
          <w:iCs/>
        </w:rPr>
        <w:t>W poszukiwaniu straconego królestwa</w:t>
      </w:r>
      <w:r w:rsidRPr="00FB6BFF">
        <w:t xml:space="preserve"> (s. 27–40). Poznań: Centrum Sztuki Dziecka.</w:t>
      </w:r>
    </w:p>
    <w:p w14:paraId="6CFCCFA5" w14:textId="529781DB" w:rsidR="000136B2" w:rsidRPr="00BA7268" w:rsidRDefault="000136B2" w:rsidP="00BA1B4C">
      <w:pPr>
        <w:pStyle w:val="Akapitzlist"/>
        <w:numPr>
          <w:ilvl w:val="0"/>
          <w:numId w:val="3"/>
        </w:numPr>
        <w:spacing w:before="120" w:after="120" w:line="240" w:lineRule="auto"/>
        <w:ind w:left="0"/>
        <w:jc w:val="both"/>
        <w:rPr>
          <w:b/>
        </w:rPr>
      </w:pPr>
      <w:r w:rsidRPr="00BA7268">
        <w:rPr>
          <w:b/>
        </w:rPr>
        <w:t xml:space="preserve">publikacja </w:t>
      </w:r>
      <w:r w:rsidR="00FF6B19" w:rsidRPr="00BA7268">
        <w:rPr>
          <w:b/>
        </w:rPr>
        <w:t>angl</w:t>
      </w:r>
      <w:r w:rsidRPr="00BA7268">
        <w:rPr>
          <w:b/>
        </w:rPr>
        <w:t>ojęzyczna</w:t>
      </w:r>
    </w:p>
    <w:p w14:paraId="39B6CF2C" w14:textId="52D7538D" w:rsidR="000136B2" w:rsidRPr="00FB6BFF" w:rsidRDefault="000136B2" w:rsidP="00BA1B4C">
      <w:pPr>
        <w:pStyle w:val="Akapitzlist"/>
        <w:spacing w:before="120" w:after="120" w:line="240" w:lineRule="auto"/>
        <w:jc w:val="both"/>
      </w:pPr>
      <w:r w:rsidRPr="00BA7268">
        <w:rPr>
          <w:iCs/>
        </w:rPr>
        <w:t xml:space="preserve">Bottigheimer, R. B. (2004). Fertility control and the birth of the modern European fairy-tale heroine. </w:t>
      </w:r>
      <w:r w:rsidRPr="00FB6BFF">
        <w:rPr>
          <w:iCs/>
          <w:lang w:val="en-US"/>
        </w:rPr>
        <w:t xml:space="preserve">W: D. Haase (red.), </w:t>
      </w:r>
      <w:r w:rsidRPr="00FB6BFF">
        <w:rPr>
          <w:i/>
          <w:iCs/>
          <w:lang w:val="en-US"/>
        </w:rPr>
        <w:t xml:space="preserve">Fairy Tales and </w:t>
      </w:r>
      <w:r w:rsidR="00FF6B19" w:rsidRPr="00FB6BFF">
        <w:rPr>
          <w:i/>
          <w:iCs/>
          <w:lang w:val="en-US"/>
        </w:rPr>
        <w:t>f</w:t>
      </w:r>
      <w:r w:rsidRPr="00FB6BFF">
        <w:rPr>
          <w:i/>
          <w:iCs/>
          <w:lang w:val="en-US"/>
        </w:rPr>
        <w:t xml:space="preserve">eminism: New </w:t>
      </w:r>
      <w:r w:rsidR="00FF6B19" w:rsidRPr="00FB6BFF">
        <w:rPr>
          <w:i/>
          <w:iCs/>
          <w:lang w:val="en-US"/>
        </w:rPr>
        <w:t>a</w:t>
      </w:r>
      <w:r w:rsidRPr="00FB6BFF">
        <w:rPr>
          <w:i/>
          <w:iCs/>
          <w:lang w:val="en-US"/>
        </w:rPr>
        <w:t xml:space="preserve">pproaches </w:t>
      </w:r>
      <w:r w:rsidRPr="00FB6BFF">
        <w:rPr>
          <w:iCs/>
          <w:lang w:val="en-US"/>
        </w:rPr>
        <w:t>(s. 37–51)</w:t>
      </w:r>
      <w:r w:rsidRPr="00FB6BFF">
        <w:rPr>
          <w:lang w:val="en-US"/>
        </w:rPr>
        <w:t xml:space="preserve">. </w:t>
      </w:r>
      <w:r w:rsidRPr="00FB6BFF">
        <w:t>Detroit, MI: Wayne State University Press.</w:t>
      </w:r>
    </w:p>
    <w:p w14:paraId="737C0069" w14:textId="5205186C" w:rsidR="00731BDB" w:rsidRPr="00FB6BFF" w:rsidRDefault="00731BDB" w:rsidP="00731BDB">
      <w:pPr>
        <w:pStyle w:val="Akapitzlist"/>
        <w:numPr>
          <w:ilvl w:val="0"/>
          <w:numId w:val="3"/>
        </w:numPr>
        <w:spacing w:before="120" w:after="120" w:line="240" w:lineRule="auto"/>
        <w:ind w:left="0"/>
        <w:jc w:val="both"/>
        <w:rPr>
          <w:b/>
          <w:lang w:val="en-US"/>
        </w:rPr>
      </w:pPr>
      <w:r w:rsidRPr="00FB6BFF">
        <w:rPr>
          <w:b/>
          <w:lang w:val="en-US"/>
        </w:rPr>
        <w:t>rozdział w książce autorskiej</w:t>
      </w:r>
    </w:p>
    <w:p w14:paraId="065B430C" w14:textId="0DA75B16" w:rsidR="00731BDB" w:rsidRPr="00FB6BFF" w:rsidRDefault="00731BDB" w:rsidP="00731BDB">
      <w:pPr>
        <w:pStyle w:val="Akapitzlist"/>
        <w:spacing w:before="120" w:after="120" w:line="240" w:lineRule="auto"/>
        <w:jc w:val="both"/>
        <w:rPr>
          <w:iCs/>
          <w:lang w:val="en-US"/>
        </w:rPr>
      </w:pPr>
      <w:r w:rsidRPr="00FB6BFF">
        <w:rPr>
          <w:iCs/>
          <w:lang w:val="en-US"/>
        </w:rPr>
        <w:t>Sedgwick, E.</w:t>
      </w:r>
      <w:r w:rsidR="00BA7268">
        <w:rPr>
          <w:iCs/>
          <w:lang w:val="en-US"/>
        </w:rPr>
        <w:t xml:space="preserve"> K.</w:t>
      </w:r>
      <w:r w:rsidRPr="00FB6BFF">
        <w:rPr>
          <w:iCs/>
          <w:lang w:val="en-US"/>
        </w:rPr>
        <w:t xml:space="preserve"> (1985). Toward the Gothic: Terrorism and homosexual panic. </w:t>
      </w:r>
      <w:r w:rsidR="00BA7268">
        <w:rPr>
          <w:iCs/>
          <w:lang w:val="en-US"/>
        </w:rPr>
        <w:t>W:</w:t>
      </w:r>
      <w:r w:rsidRPr="00FB6BFF">
        <w:rPr>
          <w:iCs/>
          <w:lang w:val="en-US"/>
        </w:rPr>
        <w:t xml:space="preserve"> </w:t>
      </w:r>
      <w:r w:rsidRPr="00FB6BFF">
        <w:rPr>
          <w:i/>
          <w:iCs/>
          <w:lang w:val="en-US"/>
        </w:rPr>
        <w:t>Between men: English literature and male homosexual desire</w:t>
      </w:r>
      <w:r w:rsidR="00BA7268">
        <w:rPr>
          <w:iCs/>
          <w:lang w:val="en-US"/>
        </w:rPr>
        <w:t xml:space="preserve"> (s</w:t>
      </w:r>
      <w:r w:rsidRPr="00FB6BFF">
        <w:rPr>
          <w:iCs/>
          <w:lang w:val="en-US"/>
        </w:rPr>
        <w:t>. 83–96). New York, NY: Columbia University Press.</w:t>
      </w:r>
    </w:p>
    <w:p w14:paraId="29AD2BF4" w14:textId="78A4DF54" w:rsidR="00731BDB" w:rsidRPr="00FB6BFF" w:rsidRDefault="00731BDB" w:rsidP="00731BDB">
      <w:pPr>
        <w:pStyle w:val="Akapitzlist"/>
        <w:numPr>
          <w:ilvl w:val="0"/>
          <w:numId w:val="22"/>
        </w:numPr>
        <w:spacing w:before="120" w:after="120"/>
        <w:jc w:val="both"/>
        <w:rPr>
          <w:bCs/>
          <w:sz w:val="18"/>
          <w:szCs w:val="20"/>
        </w:rPr>
      </w:pPr>
      <w:r w:rsidRPr="00BA7268">
        <w:rPr>
          <w:sz w:val="18"/>
          <w:lang w:val="en-US"/>
        </w:rPr>
        <w:t>dotyczy to także np. opowiadań z autorskich zbiorów, ale nie ma zastosowania, gdy aut</w:t>
      </w:r>
      <w:r w:rsidRPr="00FB6BFF">
        <w:rPr>
          <w:sz w:val="18"/>
        </w:rPr>
        <w:t xml:space="preserve">or rozdziału i redaktor </w:t>
      </w:r>
      <w:r w:rsidRPr="00FB6BFF">
        <w:rPr>
          <w:b/>
          <w:sz w:val="18"/>
        </w:rPr>
        <w:t>tomu zbiorowego</w:t>
      </w:r>
      <w:r w:rsidRPr="00FB6BFF">
        <w:rPr>
          <w:sz w:val="18"/>
        </w:rPr>
        <w:t xml:space="preserve"> to ta sama osoba.</w:t>
      </w:r>
    </w:p>
    <w:p w14:paraId="3536A9EB" w14:textId="77777777" w:rsidR="000136B2" w:rsidRPr="00FB6BFF" w:rsidRDefault="000136B2" w:rsidP="002E7A46">
      <w:pPr>
        <w:spacing w:before="120" w:after="120" w:line="240" w:lineRule="auto"/>
        <w:jc w:val="both"/>
      </w:pPr>
    </w:p>
    <w:p w14:paraId="0D217B89" w14:textId="77777777" w:rsidR="000136B2" w:rsidRPr="00FB6BFF" w:rsidRDefault="000136B2" w:rsidP="00BA1B4C">
      <w:pPr>
        <w:pStyle w:val="Akapitzlist"/>
        <w:spacing w:before="120" w:after="120" w:line="240" w:lineRule="auto"/>
        <w:ind w:left="0"/>
        <w:jc w:val="both"/>
        <w:rPr>
          <w:b/>
          <w:bCs/>
        </w:rPr>
      </w:pPr>
      <w:r w:rsidRPr="00FB6BFF">
        <w:rPr>
          <w:b/>
          <w:bCs/>
        </w:rPr>
        <w:t>Artykuły w czasopismach</w:t>
      </w:r>
    </w:p>
    <w:p w14:paraId="588CDE1B" w14:textId="77777777" w:rsidR="000136B2" w:rsidRPr="00FB6BFF" w:rsidRDefault="000136B2" w:rsidP="00BA1B4C">
      <w:pPr>
        <w:pStyle w:val="Akapitzlis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120" w:line="240" w:lineRule="auto"/>
        <w:ind w:left="12"/>
        <w:jc w:val="both"/>
        <w:rPr>
          <w:b/>
          <w:bCs/>
          <w:sz w:val="20"/>
        </w:rPr>
      </w:pPr>
      <w:r w:rsidRPr="00FB6BFF">
        <w:rPr>
          <w:b/>
          <w:bCs/>
          <w:sz w:val="20"/>
        </w:rPr>
        <w:t>Prosimy zwrócić uwagę:</w:t>
      </w:r>
    </w:p>
    <w:p w14:paraId="2F319983" w14:textId="77777777" w:rsidR="000136B2" w:rsidRPr="00FB6BFF" w:rsidRDefault="000136B2" w:rsidP="00BA1B4C">
      <w:pPr>
        <w:pStyle w:val="Akapitzlist"/>
        <w:numPr>
          <w:ilvl w:val="0"/>
          <w:numId w:val="15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120" w:line="240" w:lineRule="auto"/>
        <w:jc w:val="both"/>
        <w:rPr>
          <w:bCs/>
          <w:sz w:val="20"/>
        </w:rPr>
      </w:pPr>
      <w:r w:rsidRPr="00FB6BFF">
        <w:rPr>
          <w:bCs/>
          <w:sz w:val="20"/>
        </w:rPr>
        <w:t>tytuł artykułu zapisywany bez kursywy</w:t>
      </w:r>
    </w:p>
    <w:p w14:paraId="1CDAF90E" w14:textId="77777777" w:rsidR="000136B2" w:rsidRPr="00FB6BFF" w:rsidRDefault="000136B2" w:rsidP="00BA1B4C">
      <w:pPr>
        <w:pStyle w:val="Akapitzlist"/>
        <w:numPr>
          <w:ilvl w:val="0"/>
          <w:numId w:val="15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120" w:line="240" w:lineRule="auto"/>
        <w:jc w:val="both"/>
        <w:rPr>
          <w:bCs/>
          <w:sz w:val="20"/>
        </w:rPr>
      </w:pPr>
      <w:r w:rsidRPr="00FB6BFF">
        <w:rPr>
          <w:bCs/>
          <w:sz w:val="20"/>
        </w:rPr>
        <w:t>tytuł czasopisma zapisywany kursywą</w:t>
      </w:r>
    </w:p>
    <w:p w14:paraId="53827F60" w14:textId="2AC2D884" w:rsidR="000136B2" w:rsidRPr="00FB6BFF" w:rsidRDefault="000136B2" w:rsidP="00BA1B4C">
      <w:pPr>
        <w:pStyle w:val="Akapitzlist"/>
        <w:numPr>
          <w:ilvl w:val="0"/>
          <w:numId w:val="15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120" w:line="240" w:lineRule="auto"/>
        <w:jc w:val="both"/>
        <w:rPr>
          <w:bCs/>
          <w:sz w:val="20"/>
        </w:rPr>
      </w:pPr>
      <w:r w:rsidRPr="00FB6BFF">
        <w:rPr>
          <w:bCs/>
          <w:sz w:val="20"/>
        </w:rPr>
        <w:t>po tytule czasopisma (po przecinku) podawany jest tom zapisywany kursywą, dalej (</w:t>
      </w:r>
      <w:r w:rsidR="00186F51" w:rsidRPr="00FB6BFF">
        <w:rPr>
          <w:bCs/>
          <w:sz w:val="20"/>
        </w:rPr>
        <w:t>w nawiasie, bez spacji</w:t>
      </w:r>
      <w:r w:rsidRPr="00FB6BFF">
        <w:rPr>
          <w:bCs/>
          <w:sz w:val="20"/>
        </w:rPr>
        <w:t xml:space="preserve">) numer zapisywany </w:t>
      </w:r>
      <w:r w:rsidR="00186F51" w:rsidRPr="00FB6BFF">
        <w:rPr>
          <w:bCs/>
          <w:sz w:val="20"/>
        </w:rPr>
        <w:t>bez kursywy</w:t>
      </w:r>
      <w:r w:rsidRPr="00FB6BFF">
        <w:rPr>
          <w:bCs/>
          <w:sz w:val="20"/>
        </w:rPr>
        <w:t>, dalej (po przecinku) zakres stron, na których znajduje się artykuł, zapisywany bez kursywy</w:t>
      </w:r>
    </w:p>
    <w:p w14:paraId="505D6808" w14:textId="5D517D54" w:rsidR="000136B2" w:rsidRPr="00FB6BFF" w:rsidRDefault="000136B2" w:rsidP="00BA1B4C">
      <w:pPr>
        <w:pStyle w:val="Akapitzlist"/>
        <w:numPr>
          <w:ilvl w:val="0"/>
          <w:numId w:val="15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120" w:line="240" w:lineRule="auto"/>
        <w:jc w:val="both"/>
        <w:rPr>
          <w:bCs/>
          <w:sz w:val="20"/>
        </w:rPr>
      </w:pPr>
      <w:r w:rsidRPr="00FB6BFF">
        <w:rPr>
          <w:bCs/>
          <w:sz w:val="20"/>
        </w:rPr>
        <w:t>pomiędzy numerami stron jest myślnik (nie dywiz)</w:t>
      </w:r>
    </w:p>
    <w:p w14:paraId="1A41ECD7" w14:textId="56627B23" w:rsidR="00FF6B19" w:rsidRPr="00FB6BFF" w:rsidRDefault="008808C6" w:rsidP="00BA1B4C">
      <w:pPr>
        <w:pStyle w:val="Akapitzlist"/>
        <w:numPr>
          <w:ilvl w:val="0"/>
          <w:numId w:val="15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120" w:line="240" w:lineRule="auto"/>
        <w:jc w:val="both"/>
        <w:rPr>
          <w:bCs/>
          <w:sz w:val="20"/>
        </w:rPr>
      </w:pPr>
      <w:r w:rsidRPr="00FB6BFF">
        <w:rPr>
          <w:bCs/>
          <w:sz w:val="20"/>
        </w:rPr>
        <w:t>n</w:t>
      </w:r>
      <w:r w:rsidR="00FF6B19" w:rsidRPr="00FB6BFF">
        <w:rPr>
          <w:bCs/>
          <w:sz w:val="20"/>
        </w:rPr>
        <w:t>umer DOI (jeżeli artykuł go posiada) należy podać po zakresie stron (po kropce).</w:t>
      </w:r>
    </w:p>
    <w:p w14:paraId="2A6CD2CC" w14:textId="77777777" w:rsidR="000136B2" w:rsidRPr="00FB6BFF" w:rsidRDefault="000136B2" w:rsidP="00BA1B4C">
      <w:pPr>
        <w:pStyle w:val="Akapitzlist"/>
        <w:numPr>
          <w:ilvl w:val="0"/>
          <w:numId w:val="3"/>
        </w:numPr>
        <w:spacing w:before="120" w:after="120" w:line="240" w:lineRule="auto"/>
        <w:ind w:left="12"/>
        <w:jc w:val="both"/>
        <w:rPr>
          <w:b/>
        </w:rPr>
      </w:pPr>
      <w:r w:rsidRPr="00FB6BFF">
        <w:rPr>
          <w:b/>
        </w:rPr>
        <w:t>czasopismo polskie</w:t>
      </w:r>
    </w:p>
    <w:p w14:paraId="2BDFB86C" w14:textId="6A107471" w:rsidR="000136B2" w:rsidRPr="00FB6BFF" w:rsidRDefault="000136B2" w:rsidP="00BA1B4C">
      <w:pPr>
        <w:pStyle w:val="Akapitzlist"/>
        <w:spacing w:before="120" w:after="120" w:line="240" w:lineRule="auto"/>
        <w:ind w:left="732"/>
        <w:jc w:val="both"/>
      </w:pPr>
      <w:r w:rsidRPr="00FB6BFF">
        <w:t xml:space="preserve">Wądolny-Tatar, K. (2017). Dziecko i wojna w perspektywie postpamięci. Narracje dla najmłodszych. </w:t>
      </w:r>
      <w:r w:rsidRPr="00FB6BFF">
        <w:rPr>
          <w:i/>
        </w:rPr>
        <w:t>Litteraria Copernicana,</w:t>
      </w:r>
      <w:r w:rsidRPr="00FB6BFF">
        <w:t xml:space="preserve"> </w:t>
      </w:r>
      <w:r w:rsidRPr="00FB6BFF">
        <w:rPr>
          <w:i/>
        </w:rPr>
        <w:t>3</w:t>
      </w:r>
      <w:r w:rsidRPr="00FB6BFF">
        <w:t>, 111–124.</w:t>
      </w:r>
      <w:r w:rsidR="006A0FAC" w:rsidRPr="00FB6BFF">
        <w:t xml:space="preserve"> </w:t>
      </w:r>
      <w:hyperlink r:id="rId11" w:history="1">
        <w:r w:rsidR="00BC3766" w:rsidRPr="00FB6BFF">
          <w:rPr>
            <w:rStyle w:val="Hipercze"/>
          </w:rPr>
          <w:t>https://doi.org/10.12775/LC.2017.053</w:t>
        </w:r>
      </w:hyperlink>
      <w:r w:rsidR="006A0FAC" w:rsidRPr="00FB6BFF">
        <w:t>.</w:t>
      </w:r>
    </w:p>
    <w:p w14:paraId="40B2D8AF" w14:textId="77777777" w:rsidR="000136B2" w:rsidRPr="00FB6BFF" w:rsidRDefault="000136B2" w:rsidP="00BA1B4C">
      <w:pPr>
        <w:pStyle w:val="Akapitzlist"/>
        <w:numPr>
          <w:ilvl w:val="0"/>
          <w:numId w:val="3"/>
        </w:numPr>
        <w:spacing w:before="120" w:after="120" w:line="240" w:lineRule="auto"/>
        <w:ind w:left="12"/>
        <w:jc w:val="both"/>
        <w:rPr>
          <w:b/>
        </w:rPr>
      </w:pPr>
      <w:r w:rsidRPr="00FB6BFF">
        <w:rPr>
          <w:b/>
        </w:rPr>
        <w:t>czasopismo obcojęzyczne</w:t>
      </w:r>
    </w:p>
    <w:p w14:paraId="3FD0F80A" w14:textId="21597F8A" w:rsidR="000136B2" w:rsidRPr="00FB6BFF" w:rsidRDefault="000136B2" w:rsidP="00BC3766">
      <w:pPr>
        <w:pStyle w:val="Akapitzlist"/>
        <w:spacing w:before="120" w:after="120" w:line="240" w:lineRule="auto"/>
        <w:ind w:left="732"/>
        <w:jc w:val="both"/>
      </w:pPr>
      <w:r w:rsidRPr="00FB6BFF">
        <w:rPr>
          <w:lang w:val="en-US"/>
        </w:rPr>
        <w:t xml:space="preserve">Bullen, E., Sewers, N. (2017). The fairy tale police department: Hybridity, the transnational television fairy tale, and cultural forms. </w:t>
      </w:r>
      <w:r w:rsidRPr="00FB6BFF">
        <w:rPr>
          <w:i/>
        </w:rPr>
        <w:t>Marvels &amp; Tales</w:t>
      </w:r>
      <w:r w:rsidRPr="00FB6BFF">
        <w:t xml:space="preserve">, </w:t>
      </w:r>
      <w:r w:rsidRPr="00FB6BFF">
        <w:rPr>
          <w:i/>
        </w:rPr>
        <w:t>31</w:t>
      </w:r>
      <w:r w:rsidR="00186F51" w:rsidRPr="00FB6BFF">
        <w:t>(</w:t>
      </w:r>
      <w:r w:rsidRPr="00FB6BFF">
        <w:t>1</w:t>
      </w:r>
      <w:r w:rsidR="00186F51" w:rsidRPr="00FB6BFF">
        <w:t>)</w:t>
      </w:r>
      <w:r w:rsidRPr="00FB6BFF">
        <w:t>, 24–43.</w:t>
      </w:r>
      <w:r w:rsidR="00EC1E12" w:rsidRPr="00FB6BFF">
        <w:t xml:space="preserve"> </w:t>
      </w:r>
      <w:hyperlink r:id="rId12" w:history="1">
        <w:r w:rsidR="00BC3766" w:rsidRPr="00FB6BFF">
          <w:rPr>
            <w:rStyle w:val="Hipercze"/>
          </w:rPr>
          <w:t>https://doi.org/10.13110/marvelstales.31.1.0024</w:t>
        </w:r>
      </w:hyperlink>
      <w:r w:rsidR="00BC3766" w:rsidRPr="00FB6BFF">
        <w:t>.</w:t>
      </w:r>
    </w:p>
    <w:p w14:paraId="6C4DC351" w14:textId="77777777" w:rsidR="00B31A5D" w:rsidRPr="00FB6BFF" w:rsidRDefault="00B31A5D" w:rsidP="00BA1B4C">
      <w:pPr>
        <w:pStyle w:val="Akapitzlist"/>
        <w:spacing w:before="240" w:after="240" w:line="240" w:lineRule="auto"/>
        <w:ind w:left="0"/>
        <w:jc w:val="both"/>
        <w:rPr>
          <w:b/>
          <w:bCs/>
        </w:rPr>
      </w:pPr>
    </w:p>
    <w:p w14:paraId="550D1E35" w14:textId="77777777" w:rsidR="002E7A46" w:rsidRPr="00FB6BFF" w:rsidRDefault="002E7A46" w:rsidP="00BA1B4C">
      <w:pPr>
        <w:pStyle w:val="Akapitzlist"/>
        <w:spacing w:before="240" w:after="240" w:line="240" w:lineRule="auto"/>
        <w:ind w:left="0"/>
        <w:jc w:val="both"/>
        <w:rPr>
          <w:b/>
          <w:bCs/>
        </w:rPr>
      </w:pPr>
    </w:p>
    <w:p w14:paraId="4EC86243" w14:textId="688F1B09" w:rsidR="000136B2" w:rsidRPr="00FB6BFF" w:rsidRDefault="000136B2" w:rsidP="00BA1B4C">
      <w:pPr>
        <w:pStyle w:val="Akapitzlist"/>
        <w:spacing w:before="240" w:after="240" w:line="240" w:lineRule="auto"/>
        <w:ind w:left="0"/>
        <w:jc w:val="both"/>
        <w:rPr>
          <w:b/>
          <w:bCs/>
        </w:rPr>
      </w:pPr>
      <w:r w:rsidRPr="00FB6BFF">
        <w:rPr>
          <w:b/>
          <w:bCs/>
        </w:rPr>
        <w:lastRenderedPageBreak/>
        <w:t>Filmy i seriale</w:t>
      </w:r>
    </w:p>
    <w:p w14:paraId="786E7AE1" w14:textId="77777777" w:rsidR="000136B2" w:rsidRPr="00FB6BFF" w:rsidRDefault="000136B2" w:rsidP="00BA1B4C">
      <w:pPr>
        <w:pStyle w:val="Akapitzlis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120" w:line="240" w:lineRule="auto"/>
        <w:ind w:left="12"/>
        <w:jc w:val="both"/>
        <w:rPr>
          <w:b/>
          <w:bCs/>
          <w:sz w:val="20"/>
        </w:rPr>
      </w:pPr>
      <w:r w:rsidRPr="00FB6BFF">
        <w:rPr>
          <w:b/>
          <w:bCs/>
          <w:sz w:val="20"/>
        </w:rPr>
        <w:t>Prosimy zwrócić uwagę:</w:t>
      </w:r>
    </w:p>
    <w:p w14:paraId="416D0213" w14:textId="77777777" w:rsidR="000136B2" w:rsidRPr="00FB6BFF" w:rsidRDefault="000136B2" w:rsidP="00BA1B4C">
      <w:pPr>
        <w:pStyle w:val="Akapitzlist"/>
        <w:numPr>
          <w:ilvl w:val="0"/>
          <w:numId w:val="16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120" w:line="240" w:lineRule="auto"/>
        <w:jc w:val="both"/>
        <w:rPr>
          <w:bCs/>
          <w:sz w:val="20"/>
        </w:rPr>
      </w:pPr>
      <w:r w:rsidRPr="00FB6BFF">
        <w:rPr>
          <w:bCs/>
          <w:sz w:val="20"/>
        </w:rPr>
        <w:t>tytuł filmu bądź serialu zapisywany kursywą</w:t>
      </w:r>
    </w:p>
    <w:p w14:paraId="0DF561F4" w14:textId="77777777" w:rsidR="000136B2" w:rsidRPr="00FB6BFF" w:rsidRDefault="000136B2" w:rsidP="00BA1B4C">
      <w:pPr>
        <w:pStyle w:val="Akapitzlist"/>
        <w:numPr>
          <w:ilvl w:val="0"/>
          <w:numId w:val="16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120" w:line="240" w:lineRule="auto"/>
        <w:jc w:val="both"/>
        <w:rPr>
          <w:bCs/>
          <w:sz w:val="20"/>
        </w:rPr>
      </w:pPr>
      <w:r w:rsidRPr="00FB6BFF">
        <w:rPr>
          <w:bCs/>
          <w:sz w:val="20"/>
        </w:rPr>
        <w:t>tytuł odcinka serialu zapisywany bez kursywy</w:t>
      </w:r>
    </w:p>
    <w:p w14:paraId="50B962AE" w14:textId="07DFC256" w:rsidR="000136B2" w:rsidRPr="00FB6BFF" w:rsidRDefault="000136B2" w:rsidP="00BA1B4C">
      <w:pPr>
        <w:pStyle w:val="Akapitzlist"/>
        <w:numPr>
          <w:ilvl w:val="0"/>
          <w:numId w:val="16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120" w:line="240" w:lineRule="auto"/>
        <w:jc w:val="both"/>
        <w:rPr>
          <w:bCs/>
          <w:sz w:val="20"/>
        </w:rPr>
      </w:pPr>
      <w:r w:rsidRPr="00FB6BFF">
        <w:rPr>
          <w:bCs/>
          <w:sz w:val="20"/>
        </w:rPr>
        <w:t>po kraju</w:t>
      </w:r>
      <w:r w:rsidR="004B30E5" w:rsidRPr="00FB6BFF">
        <w:rPr>
          <w:bCs/>
          <w:sz w:val="20"/>
        </w:rPr>
        <w:t xml:space="preserve"> lub mieście</w:t>
      </w:r>
      <w:r w:rsidRPr="00FB6BFF">
        <w:rPr>
          <w:bCs/>
          <w:sz w:val="20"/>
        </w:rPr>
        <w:t xml:space="preserve"> produkcji (po dwukropku) następuje nazwa </w:t>
      </w:r>
      <w:r w:rsidR="00D07849" w:rsidRPr="00FB6BFF">
        <w:rPr>
          <w:bCs/>
          <w:sz w:val="20"/>
        </w:rPr>
        <w:t>dystrybutora</w:t>
      </w:r>
    </w:p>
    <w:p w14:paraId="7A985C2C" w14:textId="35058DB6" w:rsidR="008E2E86" w:rsidRPr="00FB6BFF" w:rsidRDefault="00CA5968" w:rsidP="00BA1B4C">
      <w:pPr>
        <w:pStyle w:val="Akapitzlist"/>
        <w:numPr>
          <w:ilvl w:val="0"/>
          <w:numId w:val="16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120" w:line="240" w:lineRule="auto"/>
        <w:jc w:val="both"/>
        <w:rPr>
          <w:bCs/>
          <w:sz w:val="20"/>
        </w:rPr>
      </w:pPr>
      <w:r w:rsidRPr="00FB6BFF">
        <w:rPr>
          <w:bCs/>
          <w:sz w:val="20"/>
        </w:rPr>
        <w:t xml:space="preserve">tłumaczenie tytułu produkcji zagranicznej (jeśli istnieje) należy podać </w:t>
      </w:r>
      <w:r w:rsidR="002E7A46" w:rsidRPr="00FB6BFF">
        <w:rPr>
          <w:bCs/>
          <w:sz w:val="20"/>
        </w:rPr>
        <w:t xml:space="preserve">w </w:t>
      </w:r>
      <w:r w:rsidRPr="00FB6BFF">
        <w:rPr>
          <w:bCs/>
          <w:sz w:val="20"/>
        </w:rPr>
        <w:t>nawiasie kwadratowym obok tytułu oryginalnego</w:t>
      </w:r>
    </w:p>
    <w:p w14:paraId="440ACFDA" w14:textId="35B41279" w:rsidR="004B30E5" w:rsidRPr="00FB6BFF" w:rsidRDefault="004B30E5" w:rsidP="00BA1B4C">
      <w:pPr>
        <w:pStyle w:val="Akapitzlist"/>
        <w:numPr>
          <w:ilvl w:val="0"/>
          <w:numId w:val="16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120" w:line="240" w:lineRule="auto"/>
        <w:jc w:val="both"/>
        <w:rPr>
          <w:bCs/>
          <w:sz w:val="20"/>
        </w:rPr>
      </w:pPr>
      <w:r w:rsidRPr="00FB6BFF">
        <w:rPr>
          <w:bCs/>
          <w:sz w:val="20"/>
        </w:rPr>
        <w:t xml:space="preserve">należy wymienić </w:t>
      </w:r>
      <w:r w:rsidRPr="00FB6BFF">
        <w:rPr>
          <w:b/>
          <w:bCs/>
          <w:sz w:val="20"/>
        </w:rPr>
        <w:t xml:space="preserve">wszystkie </w:t>
      </w:r>
      <w:r w:rsidRPr="00FB6BFF">
        <w:rPr>
          <w:bCs/>
          <w:sz w:val="20"/>
        </w:rPr>
        <w:t xml:space="preserve">kraje i </w:t>
      </w:r>
      <w:r w:rsidR="00D07849" w:rsidRPr="00FB6BFF">
        <w:rPr>
          <w:b/>
          <w:bCs/>
          <w:sz w:val="20"/>
        </w:rPr>
        <w:t>wszystkich</w:t>
      </w:r>
      <w:r w:rsidR="00D07849" w:rsidRPr="00FB6BFF">
        <w:rPr>
          <w:bCs/>
          <w:sz w:val="20"/>
        </w:rPr>
        <w:t xml:space="preserve"> oryginalnych dystrybutorów</w:t>
      </w:r>
    </w:p>
    <w:p w14:paraId="2D071D41" w14:textId="4DF5156A" w:rsidR="007703E3" w:rsidRPr="00FB6BFF" w:rsidRDefault="007703E3" w:rsidP="00BA1B4C">
      <w:pPr>
        <w:pStyle w:val="Akapitzlist"/>
        <w:numPr>
          <w:ilvl w:val="0"/>
          <w:numId w:val="16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120" w:line="240" w:lineRule="auto"/>
        <w:jc w:val="both"/>
        <w:rPr>
          <w:bCs/>
          <w:sz w:val="20"/>
        </w:rPr>
      </w:pPr>
      <w:r w:rsidRPr="00FB6BFF">
        <w:rPr>
          <w:bCs/>
          <w:sz w:val="20"/>
        </w:rPr>
        <w:t>w przypadku seriali</w:t>
      </w:r>
      <w:r w:rsidR="00C05BFE" w:rsidRPr="00FB6BFF">
        <w:rPr>
          <w:bCs/>
          <w:sz w:val="20"/>
        </w:rPr>
        <w:t xml:space="preserve"> –</w:t>
      </w:r>
      <w:r w:rsidRPr="00FB6BFF">
        <w:rPr>
          <w:bCs/>
          <w:sz w:val="20"/>
        </w:rPr>
        <w:t xml:space="preserve"> jako producentów podajemy wyłącznie najważniejszych z nich, czyli tzw. showrunnerów. Ich nazwiska można znaleźć np. w polu „twórcy”/„creators”/„created by” itp. na portalu Wikipedia lub w danych produkcji na stronie </w:t>
      </w:r>
      <w:hyperlink r:id="rId13" w:history="1">
        <w:r w:rsidR="00BA7268" w:rsidRPr="00CC199D">
          <w:rPr>
            <w:rStyle w:val="Hipercze"/>
            <w:bCs/>
            <w:sz w:val="20"/>
          </w:rPr>
          <w:t>www.imdb.com</w:t>
        </w:r>
      </w:hyperlink>
      <w:r w:rsidR="00BA7268">
        <w:rPr>
          <w:bCs/>
          <w:sz w:val="20"/>
        </w:rPr>
        <w:t xml:space="preserve">. </w:t>
      </w:r>
    </w:p>
    <w:p w14:paraId="34BF74A0" w14:textId="5B1ACE96" w:rsidR="002E7A46" w:rsidRPr="00FB6BFF" w:rsidRDefault="002E7A46" w:rsidP="00BA1B4C">
      <w:pPr>
        <w:pStyle w:val="Akapitzlist"/>
        <w:numPr>
          <w:ilvl w:val="0"/>
          <w:numId w:val="3"/>
        </w:numPr>
        <w:spacing w:before="120" w:after="120" w:line="240" w:lineRule="auto"/>
        <w:ind w:left="12"/>
        <w:jc w:val="both"/>
        <w:rPr>
          <w:b/>
          <w:bCs/>
          <w:lang w:val="en-US"/>
        </w:rPr>
      </w:pPr>
      <w:r w:rsidRPr="00FB6BFF">
        <w:rPr>
          <w:b/>
          <w:bCs/>
          <w:lang w:val="en-US"/>
        </w:rPr>
        <w:t>film polski</w:t>
      </w:r>
    </w:p>
    <w:p w14:paraId="2E743280" w14:textId="60D49B2B" w:rsidR="002E7A46" w:rsidRPr="00FB6BFF" w:rsidRDefault="002E7A46" w:rsidP="002E7A46">
      <w:pPr>
        <w:pStyle w:val="Akapitzlist"/>
        <w:spacing w:before="120" w:after="120" w:line="240" w:lineRule="auto"/>
        <w:ind w:left="708"/>
        <w:jc w:val="both"/>
        <w:rPr>
          <w:bCs/>
        </w:rPr>
      </w:pPr>
      <w:r w:rsidRPr="00FB6BFF">
        <w:rPr>
          <w:bCs/>
        </w:rPr>
        <w:t xml:space="preserve">Papis, A., Sowiński, M. (prod.), Palej, M. (reż.). (2016). </w:t>
      </w:r>
      <w:r w:rsidRPr="00FB6BFF">
        <w:rPr>
          <w:bCs/>
          <w:i/>
        </w:rPr>
        <w:t>Za niebieskimi drzwiami</w:t>
      </w:r>
      <w:r w:rsidR="00BA7268">
        <w:rPr>
          <w:bCs/>
        </w:rPr>
        <w:t xml:space="preserve"> [film]</w:t>
      </w:r>
      <w:r w:rsidRPr="00FB6BFF">
        <w:rPr>
          <w:bCs/>
        </w:rPr>
        <w:t>. Polska: Mówi Serwis.</w:t>
      </w:r>
    </w:p>
    <w:p w14:paraId="4FCF7624" w14:textId="65136967" w:rsidR="000136B2" w:rsidRPr="00FB6BFF" w:rsidRDefault="000136B2" w:rsidP="00BA1B4C">
      <w:pPr>
        <w:pStyle w:val="Akapitzlist"/>
        <w:numPr>
          <w:ilvl w:val="0"/>
          <w:numId w:val="3"/>
        </w:numPr>
        <w:spacing w:before="120" w:after="120" w:line="240" w:lineRule="auto"/>
        <w:ind w:left="12"/>
        <w:jc w:val="both"/>
        <w:rPr>
          <w:b/>
          <w:bCs/>
          <w:lang w:val="en-US"/>
        </w:rPr>
      </w:pPr>
      <w:r w:rsidRPr="00FB6BFF">
        <w:rPr>
          <w:b/>
          <w:bCs/>
          <w:lang w:val="en-US"/>
        </w:rPr>
        <w:t>film</w:t>
      </w:r>
      <w:r w:rsidR="002E7A46" w:rsidRPr="00FB6BFF">
        <w:rPr>
          <w:b/>
          <w:bCs/>
          <w:lang w:val="en-US"/>
        </w:rPr>
        <w:t xml:space="preserve"> obcojęzyczny</w:t>
      </w:r>
    </w:p>
    <w:p w14:paraId="64F414E6" w14:textId="586E3EAD" w:rsidR="000136B2" w:rsidRPr="00FB6BFF" w:rsidRDefault="000136B2" w:rsidP="00BA1B4C">
      <w:pPr>
        <w:pStyle w:val="Standard"/>
        <w:spacing w:before="120" w:after="120" w:line="240" w:lineRule="auto"/>
        <w:ind w:left="708"/>
        <w:jc w:val="both"/>
        <w:rPr>
          <w:lang w:val="en-US"/>
        </w:rPr>
      </w:pPr>
      <w:r w:rsidRPr="00FB6BFF">
        <w:rPr>
          <w:bCs/>
          <w:lang w:val="en-US"/>
        </w:rPr>
        <w:t>Arnold, B. (</w:t>
      </w:r>
      <w:r w:rsidR="00452278" w:rsidRPr="00FB6BFF">
        <w:rPr>
          <w:bCs/>
          <w:lang w:val="en-US"/>
        </w:rPr>
        <w:t>prod.</w:t>
      </w:r>
      <w:r w:rsidRPr="00FB6BFF">
        <w:rPr>
          <w:bCs/>
          <w:lang w:val="en-US"/>
        </w:rPr>
        <w:t>), Sanders, C., DeBlois, D. (</w:t>
      </w:r>
      <w:r w:rsidR="00452278" w:rsidRPr="00FB6BFF">
        <w:rPr>
          <w:bCs/>
          <w:lang w:val="en-US"/>
        </w:rPr>
        <w:t>reż.</w:t>
      </w:r>
      <w:r w:rsidRPr="00FB6BFF">
        <w:rPr>
          <w:bCs/>
          <w:lang w:val="en-US"/>
        </w:rPr>
        <w:t xml:space="preserve">). (2010). </w:t>
      </w:r>
      <w:r w:rsidR="00EF61F9" w:rsidRPr="00FB6BFF">
        <w:rPr>
          <w:bCs/>
          <w:i/>
          <w:lang w:val="en-US"/>
        </w:rPr>
        <w:t xml:space="preserve">How to </w:t>
      </w:r>
      <w:r w:rsidR="00FF6B19" w:rsidRPr="00FB6BFF">
        <w:rPr>
          <w:bCs/>
          <w:i/>
          <w:lang w:val="en-US"/>
        </w:rPr>
        <w:t>t</w:t>
      </w:r>
      <w:r w:rsidR="00EF61F9" w:rsidRPr="00FB6BFF">
        <w:rPr>
          <w:bCs/>
          <w:i/>
          <w:lang w:val="en-US"/>
        </w:rPr>
        <w:t xml:space="preserve">rain </w:t>
      </w:r>
      <w:r w:rsidR="00FF6B19" w:rsidRPr="00FB6BFF">
        <w:rPr>
          <w:bCs/>
          <w:i/>
          <w:lang w:val="en-US"/>
        </w:rPr>
        <w:t>y</w:t>
      </w:r>
      <w:r w:rsidR="00EF61F9" w:rsidRPr="00FB6BFF">
        <w:rPr>
          <w:bCs/>
          <w:i/>
          <w:lang w:val="en-US"/>
        </w:rPr>
        <w:t xml:space="preserve">our </w:t>
      </w:r>
      <w:r w:rsidR="00FF6B19" w:rsidRPr="00FB6BFF">
        <w:rPr>
          <w:bCs/>
          <w:i/>
          <w:lang w:val="en-US"/>
        </w:rPr>
        <w:t>d</w:t>
      </w:r>
      <w:r w:rsidR="00EF61F9" w:rsidRPr="00FB6BFF">
        <w:rPr>
          <w:bCs/>
          <w:i/>
          <w:lang w:val="en-US"/>
        </w:rPr>
        <w:t>ragon</w:t>
      </w:r>
      <w:r w:rsidRPr="00FB6BFF">
        <w:rPr>
          <w:bCs/>
          <w:i/>
          <w:lang w:val="en-US"/>
        </w:rPr>
        <w:t xml:space="preserve"> </w:t>
      </w:r>
      <w:r w:rsidR="00CA5968" w:rsidRPr="00FB6BFF">
        <w:rPr>
          <w:bCs/>
          <w:lang w:val="en-US"/>
        </w:rPr>
        <w:t xml:space="preserve">[Jak wytresować smoka] </w:t>
      </w:r>
      <w:r w:rsidRPr="00FB6BFF">
        <w:rPr>
          <w:bCs/>
          <w:lang w:val="en-US"/>
        </w:rPr>
        <w:t xml:space="preserve">[film]. USA: </w:t>
      </w:r>
      <w:r w:rsidR="004B30E5" w:rsidRPr="00FB6BFF">
        <w:rPr>
          <w:bCs/>
          <w:lang w:val="en-US"/>
        </w:rPr>
        <w:t>Paramount Pictures</w:t>
      </w:r>
      <w:r w:rsidRPr="00FB6BFF">
        <w:rPr>
          <w:bCs/>
          <w:lang w:val="en-US"/>
        </w:rPr>
        <w:t>.</w:t>
      </w:r>
    </w:p>
    <w:p w14:paraId="02D2A2E3" w14:textId="77777777" w:rsidR="000136B2" w:rsidRPr="00FB6BFF" w:rsidRDefault="000136B2" w:rsidP="00BA1B4C">
      <w:pPr>
        <w:pStyle w:val="Akapitzlist"/>
        <w:numPr>
          <w:ilvl w:val="0"/>
          <w:numId w:val="3"/>
        </w:numPr>
        <w:spacing w:before="120" w:after="120" w:line="240" w:lineRule="auto"/>
        <w:ind w:left="12"/>
        <w:jc w:val="both"/>
        <w:rPr>
          <w:b/>
          <w:bCs/>
          <w:lang w:val="en-US"/>
        </w:rPr>
      </w:pPr>
      <w:r w:rsidRPr="00FB6BFF">
        <w:rPr>
          <w:b/>
          <w:bCs/>
          <w:lang w:val="en-US"/>
        </w:rPr>
        <w:t>cały serial</w:t>
      </w:r>
    </w:p>
    <w:p w14:paraId="65BF7E15" w14:textId="52459BF3" w:rsidR="000136B2" w:rsidRPr="00FB6BFF" w:rsidRDefault="000136B2" w:rsidP="00BA1B4C">
      <w:pPr>
        <w:pStyle w:val="Akapitzlist"/>
        <w:spacing w:before="120" w:after="120" w:line="240" w:lineRule="auto"/>
        <w:ind w:left="708"/>
        <w:jc w:val="both"/>
      </w:pPr>
      <w:r w:rsidRPr="00FB6BFF">
        <w:rPr>
          <w:bCs/>
        </w:rPr>
        <w:t>Lampka, T. (</w:t>
      </w:r>
      <w:r w:rsidR="00452278" w:rsidRPr="00FB6BFF">
        <w:rPr>
          <w:bCs/>
        </w:rPr>
        <w:t>prod.</w:t>
      </w:r>
      <w:r w:rsidRPr="00FB6BFF">
        <w:rPr>
          <w:bCs/>
        </w:rPr>
        <w:t xml:space="preserve">). (1997). </w:t>
      </w:r>
      <w:r w:rsidRPr="00FB6BFF">
        <w:rPr>
          <w:bCs/>
          <w:i/>
        </w:rPr>
        <w:t>Tajemnica Sagali</w:t>
      </w:r>
      <w:r w:rsidRPr="00FB6BFF">
        <w:rPr>
          <w:bCs/>
        </w:rPr>
        <w:t xml:space="preserve"> [serial</w:t>
      </w:r>
      <w:r w:rsidR="00C77B48" w:rsidRPr="00FB6BFF">
        <w:rPr>
          <w:bCs/>
        </w:rPr>
        <w:t xml:space="preserve"> telewizyjny</w:t>
      </w:r>
      <w:r w:rsidRPr="00FB6BFF">
        <w:rPr>
          <w:bCs/>
        </w:rPr>
        <w:t xml:space="preserve">]. </w:t>
      </w:r>
      <w:r w:rsidR="005E6BF2" w:rsidRPr="00FB6BFF">
        <w:rPr>
          <w:bCs/>
        </w:rPr>
        <w:t>Warszawa</w:t>
      </w:r>
      <w:r w:rsidR="00A06CF2" w:rsidRPr="00FB6BFF">
        <w:rPr>
          <w:bCs/>
        </w:rPr>
        <w:t>,</w:t>
      </w:r>
      <w:r w:rsidR="00463760" w:rsidRPr="00FB6BFF">
        <w:rPr>
          <w:bCs/>
        </w:rPr>
        <w:t xml:space="preserve"> </w:t>
      </w:r>
      <w:r w:rsidR="005E6BF2" w:rsidRPr="00FB6BFF">
        <w:rPr>
          <w:bCs/>
        </w:rPr>
        <w:t>Lipsk</w:t>
      </w:r>
      <w:r w:rsidRPr="00FB6BFF">
        <w:rPr>
          <w:bCs/>
        </w:rPr>
        <w:t>: Telewizja Polska</w:t>
      </w:r>
      <w:r w:rsidR="00A06CF2" w:rsidRPr="00FB6BFF">
        <w:rPr>
          <w:bCs/>
        </w:rPr>
        <w:t>,</w:t>
      </w:r>
      <w:r w:rsidR="00463760" w:rsidRPr="00FB6BFF">
        <w:rPr>
          <w:bCs/>
        </w:rPr>
        <w:t xml:space="preserve"> </w:t>
      </w:r>
      <w:r w:rsidRPr="00FB6BFF">
        <w:rPr>
          <w:bCs/>
        </w:rPr>
        <w:t>Mitteldeutscher Rundfunk.</w:t>
      </w:r>
    </w:p>
    <w:p w14:paraId="7E54DE7E" w14:textId="77777777" w:rsidR="000136B2" w:rsidRPr="00FB6BFF" w:rsidRDefault="000136B2" w:rsidP="00BA1B4C">
      <w:pPr>
        <w:pStyle w:val="Akapitzlist"/>
        <w:numPr>
          <w:ilvl w:val="0"/>
          <w:numId w:val="3"/>
        </w:numPr>
        <w:spacing w:before="120" w:after="120" w:line="240" w:lineRule="auto"/>
        <w:ind w:left="12"/>
        <w:jc w:val="both"/>
        <w:rPr>
          <w:b/>
          <w:bCs/>
          <w:lang w:val="en-US"/>
        </w:rPr>
      </w:pPr>
      <w:r w:rsidRPr="00FB6BFF">
        <w:rPr>
          <w:b/>
          <w:bCs/>
          <w:lang w:val="en-US"/>
        </w:rPr>
        <w:t>odcinek serialu</w:t>
      </w:r>
    </w:p>
    <w:p w14:paraId="352B418A" w14:textId="0AF1A230" w:rsidR="006724B0" w:rsidRPr="00FB6BFF" w:rsidRDefault="000136B2" w:rsidP="002E7A46">
      <w:pPr>
        <w:pStyle w:val="Akapitzlist"/>
        <w:spacing w:before="120" w:after="120" w:line="240" w:lineRule="auto"/>
        <w:ind w:left="708"/>
        <w:jc w:val="both"/>
        <w:rPr>
          <w:bCs/>
          <w:lang w:val="en-US"/>
        </w:rPr>
      </w:pPr>
      <w:r w:rsidRPr="00FB6BFF">
        <w:rPr>
          <w:bCs/>
          <w:lang w:val="nb-NO"/>
        </w:rPr>
        <w:t>Duffer, M., Duffer, R. (</w:t>
      </w:r>
      <w:r w:rsidR="00452278" w:rsidRPr="00FB6BFF">
        <w:rPr>
          <w:bCs/>
          <w:lang w:val="nb-NO"/>
        </w:rPr>
        <w:t>scen.</w:t>
      </w:r>
      <w:r w:rsidR="005E6BF2" w:rsidRPr="00FB6BFF">
        <w:rPr>
          <w:bCs/>
          <w:lang w:val="nb-NO"/>
        </w:rPr>
        <w:t xml:space="preserve"> i </w:t>
      </w:r>
      <w:r w:rsidR="00452278" w:rsidRPr="00FB6BFF">
        <w:rPr>
          <w:bCs/>
          <w:lang w:val="nb-NO"/>
        </w:rPr>
        <w:t>reż.</w:t>
      </w:r>
      <w:r w:rsidRPr="00FB6BFF">
        <w:rPr>
          <w:bCs/>
          <w:lang w:val="nb-NO"/>
        </w:rPr>
        <w:t xml:space="preserve">). </w:t>
      </w:r>
      <w:r w:rsidRPr="00FB6BFF">
        <w:rPr>
          <w:bCs/>
          <w:lang w:val="en-US"/>
        </w:rPr>
        <w:t xml:space="preserve">(2016). Chapter one: The vanishing of Will Byers </w:t>
      </w:r>
      <w:r w:rsidR="00CA5968" w:rsidRPr="00FB6BFF">
        <w:rPr>
          <w:bCs/>
          <w:lang w:val="en-US"/>
        </w:rPr>
        <w:t xml:space="preserve">[Rozdział pierwszy. </w:t>
      </w:r>
      <w:r w:rsidR="00CA5968" w:rsidRPr="00FB6BFF">
        <w:rPr>
          <w:bCs/>
        </w:rPr>
        <w:t xml:space="preserve">Zniknięcie Willa Byersa] </w:t>
      </w:r>
      <w:r w:rsidRPr="00FB6BFF">
        <w:rPr>
          <w:bCs/>
        </w:rPr>
        <w:t xml:space="preserve">[odcinek </w:t>
      </w:r>
      <w:r w:rsidR="005D40F6" w:rsidRPr="00FB6BFF">
        <w:rPr>
          <w:bCs/>
        </w:rPr>
        <w:t>serial</w:t>
      </w:r>
      <w:r w:rsidR="00D42FA5" w:rsidRPr="00FB6BFF">
        <w:rPr>
          <w:bCs/>
        </w:rPr>
        <w:t>u</w:t>
      </w:r>
      <w:r w:rsidR="005D40F6" w:rsidRPr="00FB6BFF">
        <w:rPr>
          <w:bCs/>
        </w:rPr>
        <w:t xml:space="preserve"> telewizyjnego</w:t>
      </w:r>
      <w:r w:rsidRPr="00FB6BFF">
        <w:rPr>
          <w:bCs/>
        </w:rPr>
        <w:t xml:space="preserve">]. W: </w:t>
      </w:r>
      <w:r w:rsidR="00414D31" w:rsidRPr="00FB6BFF">
        <w:rPr>
          <w:bCs/>
        </w:rPr>
        <w:t xml:space="preserve">M. </w:t>
      </w:r>
      <w:r w:rsidRPr="00FB6BFF">
        <w:rPr>
          <w:bCs/>
        </w:rPr>
        <w:t>Duffer</w:t>
      </w:r>
      <w:r w:rsidR="00A06CF2" w:rsidRPr="00FB6BFF">
        <w:rPr>
          <w:bCs/>
        </w:rPr>
        <w:t xml:space="preserve">, </w:t>
      </w:r>
      <w:r w:rsidR="00414D31" w:rsidRPr="00FB6BFF">
        <w:rPr>
          <w:bCs/>
        </w:rPr>
        <w:t xml:space="preserve">R. </w:t>
      </w:r>
      <w:r w:rsidRPr="00FB6BFF">
        <w:rPr>
          <w:bCs/>
        </w:rPr>
        <w:t>Duffer</w:t>
      </w:r>
      <w:r w:rsidR="00FF6B19" w:rsidRPr="00FB6BFF">
        <w:rPr>
          <w:bCs/>
        </w:rPr>
        <w:t xml:space="preserve"> (</w:t>
      </w:r>
      <w:r w:rsidR="00452278" w:rsidRPr="00FB6BFF">
        <w:rPr>
          <w:bCs/>
        </w:rPr>
        <w:t>prod.</w:t>
      </w:r>
      <w:r w:rsidR="00FF6B19" w:rsidRPr="00FB6BFF">
        <w:rPr>
          <w:bCs/>
        </w:rPr>
        <w:t>)</w:t>
      </w:r>
      <w:r w:rsidRPr="00FB6BFF">
        <w:rPr>
          <w:bCs/>
        </w:rPr>
        <w:t xml:space="preserve">, </w:t>
      </w:r>
      <w:r w:rsidRPr="00FB6BFF">
        <w:rPr>
          <w:bCs/>
          <w:i/>
        </w:rPr>
        <w:t xml:space="preserve">Stranger </w:t>
      </w:r>
      <w:r w:rsidR="00FF6B19" w:rsidRPr="00FB6BFF">
        <w:rPr>
          <w:bCs/>
          <w:i/>
        </w:rPr>
        <w:t>t</w:t>
      </w:r>
      <w:r w:rsidRPr="00FB6BFF">
        <w:rPr>
          <w:bCs/>
          <w:i/>
        </w:rPr>
        <w:t>hings</w:t>
      </w:r>
      <w:r w:rsidRPr="00FB6BFF">
        <w:rPr>
          <w:bCs/>
        </w:rPr>
        <w:t xml:space="preserve">. </w:t>
      </w:r>
      <w:r w:rsidR="00B40751" w:rsidRPr="00FB6BFF">
        <w:rPr>
          <w:bCs/>
          <w:lang w:val="en-US"/>
        </w:rPr>
        <w:t>Los Gatos, CA</w:t>
      </w:r>
      <w:r w:rsidRPr="00FB6BFF">
        <w:rPr>
          <w:bCs/>
          <w:lang w:val="en-US"/>
        </w:rPr>
        <w:t>: Netflix.</w:t>
      </w:r>
    </w:p>
    <w:p w14:paraId="72E7C6EE" w14:textId="77777777" w:rsidR="002E7A46" w:rsidRPr="00FB6BFF" w:rsidRDefault="002E7A46" w:rsidP="002E7A46">
      <w:pPr>
        <w:pStyle w:val="Akapitzlist"/>
        <w:spacing w:before="120" w:after="120" w:line="240" w:lineRule="auto"/>
        <w:ind w:left="708"/>
        <w:jc w:val="both"/>
        <w:rPr>
          <w:lang w:val="en-US"/>
        </w:rPr>
      </w:pPr>
    </w:p>
    <w:p w14:paraId="343CA140" w14:textId="77777777" w:rsidR="00063A58" w:rsidRPr="00FB6BFF" w:rsidRDefault="00063A58" w:rsidP="00BA1B4C">
      <w:pPr>
        <w:spacing w:before="240" w:after="240" w:line="240" w:lineRule="auto"/>
        <w:jc w:val="both"/>
        <w:rPr>
          <w:b/>
          <w:bCs/>
        </w:rPr>
      </w:pPr>
    </w:p>
    <w:p w14:paraId="760756F8" w14:textId="77777777" w:rsidR="000136B2" w:rsidRPr="00FB6BFF" w:rsidRDefault="00BA1B4C" w:rsidP="00BA1B4C">
      <w:pPr>
        <w:spacing w:before="240" w:after="240" w:line="240" w:lineRule="auto"/>
        <w:jc w:val="both"/>
        <w:rPr>
          <w:b/>
          <w:bCs/>
        </w:rPr>
      </w:pPr>
      <w:r w:rsidRPr="00FB6BFF">
        <w:rPr>
          <w:b/>
          <w:bCs/>
        </w:rPr>
        <w:t>Inne</w:t>
      </w:r>
      <w:r w:rsidR="000136B2" w:rsidRPr="00FB6BFF">
        <w:rPr>
          <w:b/>
          <w:bCs/>
        </w:rPr>
        <w:t xml:space="preserve"> źródła</w:t>
      </w:r>
    </w:p>
    <w:p w14:paraId="12A0630E" w14:textId="77777777" w:rsidR="000136B2" w:rsidRPr="00FB6BFF" w:rsidRDefault="000136B2" w:rsidP="00BA1B4C">
      <w:pPr>
        <w:pStyle w:val="Akapitzlis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120" w:line="240" w:lineRule="auto"/>
        <w:ind w:left="0"/>
        <w:jc w:val="both"/>
        <w:rPr>
          <w:b/>
          <w:bCs/>
          <w:sz w:val="20"/>
        </w:rPr>
      </w:pPr>
      <w:r w:rsidRPr="00FB6BFF">
        <w:rPr>
          <w:b/>
          <w:bCs/>
          <w:sz w:val="20"/>
        </w:rPr>
        <w:t>Prosimy zwrócić uwagę:</w:t>
      </w:r>
    </w:p>
    <w:p w14:paraId="2E04C669" w14:textId="441E2D10" w:rsidR="000136B2" w:rsidRPr="00FB6BFF" w:rsidRDefault="00D87A5A" w:rsidP="00BA1B4C">
      <w:pPr>
        <w:pStyle w:val="Akapitzlist"/>
        <w:numPr>
          <w:ilvl w:val="0"/>
          <w:numId w:val="17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120" w:line="240" w:lineRule="auto"/>
        <w:jc w:val="both"/>
        <w:rPr>
          <w:bCs/>
          <w:sz w:val="20"/>
        </w:rPr>
      </w:pPr>
      <w:r w:rsidRPr="00FB6BFF">
        <w:rPr>
          <w:bCs/>
          <w:sz w:val="20"/>
        </w:rPr>
        <w:t>w</w:t>
      </w:r>
      <w:r w:rsidR="000136B2" w:rsidRPr="00FB6BFF">
        <w:rPr>
          <w:bCs/>
          <w:sz w:val="20"/>
        </w:rPr>
        <w:t xml:space="preserve"> przypadku gry wideo przed nawiasem z oznaczeniem roku premiery (przed kropką) należy wpisać producenta, a po </w:t>
      </w:r>
      <w:r w:rsidR="00B40751" w:rsidRPr="00FB6BFF">
        <w:rPr>
          <w:bCs/>
          <w:sz w:val="20"/>
        </w:rPr>
        <w:t xml:space="preserve">mieście </w:t>
      </w:r>
      <w:r w:rsidR="000136B2" w:rsidRPr="00FB6BFF">
        <w:rPr>
          <w:bCs/>
          <w:sz w:val="20"/>
        </w:rPr>
        <w:t>wydania (po dwukropku) – wydawcę</w:t>
      </w:r>
    </w:p>
    <w:p w14:paraId="54B39893" w14:textId="2341FE7B" w:rsidR="00A06CF2" w:rsidRPr="00FB6BFF" w:rsidRDefault="00A06CF2" w:rsidP="00BA1B4C">
      <w:pPr>
        <w:pStyle w:val="Akapitzlist"/>
        <w:numPr>
          <w:ilvl w:val="0"/>
          <w:numId w:val="17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120" w:line="240" w:lineRule="auto"/>
        <w:jc w:val="both"/>
        <w:rPr>
          <w:bCs/>
          <w:sz w:val="20"/>
        </w:rPr>
      </w:pPr>
      <w:r w:rsidRPr="00FB6BFF">
        <w:rPr>
          <w:bCs/>
          <w:sz w:val="20"/>
        </w:rPr>
        <w:t xml:space="preserve">w przypadku komiksu/powieści graficznej należy </w:t>
      </w:r>
      <w:r w:rsidR="007703E3" w:rsidRPr="00FB6BFF">
        <w:rPr>
          <w:bCs/>
          <w:sz w:val="20"/>
        </w:rPr>
        <w:t xml:space="preserve">wymienić </w:t>
      </w:r>
      <w:r w:rsidRPr="00FB6BFF">
        <w:rPr>
          <w:bCs/>
          <w:sz w:val="20"/>
        </w:rPr>
        <w:t>wszystkich twórców</w:t>
      </w:r>
      <w:r w:rsidR="00203BE8" w:rsidRPr="00FB6BFF">
        <w:rPr>
          <w:bCs/>
          <w:sz w:val="20"/>
        </w:rPr>
        <w:t>, ale nie dookreślać ich ról</w:t>
      </w:r>
    </w:p>
    <w:p w14:paraId="083C7813" w14:textId="77777777" w:rsidR="000136B2" w:rsidRPr="00FB6BFF" w:rsidRDefault="00D87A5A" w:rsidP="00BA1B4C">
      <w:pPr>
        <w:pStyle w:val="Akapitzlist"/>
        <w:numPr>
          <w:ilvl w:val="0"/>
          <w:numId w:val="17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120" w:line="240" w:lineRule="auto"/>
        <w:jc w:val="both"/>
        <w:rPr>
          <w:bCs/>
          <w:sz w:val="20"/>
        </w:rPr>
      </w:pPr>
      <w:r w:rsidRPr="00FB6BFF">
        <w:rPr>
          <w:bCs/>
          <w:sz w:val="20"/>
        </w:rPr>
        <w:t>f</w:t>
      </w:r>
      <w:r w:rsidR="000136B2" w:rsidRPr="00FB6BFF">
        <w:rPr>
          <w:bCs/>
          <w:sz w:val="20"/>
        </w:rPr>
        <w:t>ormat właściwy dla komiksu/powieści graficznej najczęściej znajdzie także zastosowanie w przypadku książek obrazkowych</w:t>
      </w:r>
    </w:p>
    <w:p w14:paraId="3270AFC3" w14:textId="6F8EB83E" w:rsidR="000136B2" w:rsidRPr="00FB6BFF" w:rsidRDefault="00505B23" w:rsidP="00BA1B4C">
      <w:pPr>
        <w:pStyle w:val="Akapitzlist"/>
        <w:numPr>
          <w:ilvl w:val="0"/>
          <w:numId w:val="19"/>
        </w:numPr>
        <w:spacing w:before="120" w:after="120" w:line="240" w:lineRule="auto"/>
        <w:jc w:val="both"/>
        <w:rPr>
          <w:b/>
          <w:bCs/>
        </w:rPr>
      </w:pPr>
      <w:r w:rsidRPr="00FB6BFF">
        <w:rPr>
          <w:b/>
          <w:bCs/>
        </w:rPr>
        <w:t>g</w:t>
      </w:r>
      <w:r w:rsidR="000136B2" w:rsidRPr="00FB6BFF">
        <w:rPr>
          <w:b/>
          <w:bCs/>
        </w:rPr>
        <w:t>r</w:t>
      </w:r>
      <w:r w:rsidRPr="00FB6BFF">
        <w:rPr>
          <w:b/>
          <w:bCs/>
        </w:rPr>
        <w:t>a</w:t>
      </w:r>
      <w:r w:rsidR="000136B2" w:rsidRPr="00FB6BFF">
        <w:rPr>
          <w:b/>
          <w:bCs/>
        </w:rPr>
        <w:t xml:space="preserve"> wideo</w:t>
      </w:r>
    </w:p>
    <w:p w14:paraId="2813A72E" w14:textId="75FFEA4A" w:rsidR="000136B2" w:rsidRPr="00FB6BFF" w:rsidRDefault="000136B2" w:rsidP="00BA1B4C">
      <w:pPr>
        <w:pStyle w:val="Akapitzlist"/>
        <w:spacing w:before="120" w:after="120" w:line="240" w:lineRule="auto"/>
        <w:ind w:left="360"/>
        <w:jc w:val="both"/>
        <w:rPr>
          <w:lang w:val="en-US"/>
        </w:rPr>
      </w:pPr>
      <w:r w:rsidRPr="00FB6BFF">
        <w:rPr>
          <w:lang w:val="en-US"/>
        </w:rPr>
        <w:t xml:space="preserve">Blizzard North. (2000). </w:t>
      </w:r>
      <w:r w:rsidRPr="00FB6BFF">
        <w:rPr>
          <w:i/>
          <w:lang w:val="en-US"/>
        </w:rPr>
        <w:t>Diablo II</w:t>
      </w:r>
      <w:r w:rsidRPr="00FB6BFF">
        <w:rPr>
          <w:lang w:val="en-US"/>
        </w:rPr>
        <w:t xml:space="preserve"> [</w:t>
      </w:r>
      <w:r w:rsidR="00B40751" w:rsidRPr="00FB6BFF">
        <w:rPr>
          <w:lang w:val="en-US"/>
        </w:rPr>
        <w:t>gra wideo</w:t>
      </w:r>
      <w:r w:rsidRPr="00FB6BFF">
        <w:rPr>
          <w:lang w:val="en-US"/>
        </w:rPr>
        <w:t xml:space="preserve">]. </w:t>
      </w:r>
      <w:r w:rsidR="00B40751" w:rsidRPr="00FB6BFF">
        <w:rPr>
          <w:lang w:val="en-US"/>
        </w:rPr>
        <w:t>Irvine, CA</w:t>
      </w:r>
      <w:r w:rsidRPr="00FB6BFF">
        <w:rPr>
          <w:lang w:val="en-US"/>
        </w:rPr>
        <w:t>: Blizzard Entertainment.</w:t>
      </w:r>
    </w:p>
    <w:p w14:paraId="1501534D" w14:textId="00050443" w:rsidR="000136B2" w:rsidRPr="00FB6BFF" w:rsidRDefault="00505B23" w:rsidP="00BA1B4C">
      <w:pPr>
        <w:pStyle w:val="Akapitzlist"/>
        <w:numPr>
          <w:ilvl w:val="0"/>
          <w:numId w:val="19"/>
        </w:numPr>
        <w:spacing w:before="120" w:after="120" w:line="240" w:lineRule="auto"/>
        <w:jc w:val="both"/>
        <w:rPr>
          <w:b/>
        </w:rPr>
      </w:pPr>
      <w:r w:rsidRPr="00FB6BFF">
        <w:rPr>
          <w:b/>
        </w:rPr>
        <w:t>k</w:t>
      </w:r>
      <w:r w:rsidR="000136B2" w:rsidRPr="00FB6BFF">
        <w:rPr>
          <w:b/>
        </w:rPr>
        <w:t>omiks i powieś</w:t>
      </w:r>
      <w:r w:rsidRPr="00FB6BFF">
        <w:rPr>
          <w:b/>
        </w:rPr>
        <w:t>ć</w:t>
      </w:r>
      <w:r w:rsidR="000136B2" w:rsidRPr="00FB6BFF">
        <w:rPr>
          <w:b/>
        </w:rPr>
        <w:t xml:space="preserve"> graficzn</w:t>
      </w:r>
      <w:r w:rsidRPr="00FB6BFF">
        <w:rPr>
          <w:b/>
        </w:rPr>
        <w:t>a</w:t>
      </w:r>
    </w:p>
    <w:p w14:paraId="6EE55E4D" w14:textId="2DE9EA9F" w:rsidR="000136B2" w:rsidRPr="00FB6BFF" w:rsidRDefault="000136B2" w:rsidP="00BA1B4C">
      <w:pPr>
        <w:spacing w:before="120" w:after="120" w:line="240" w:lineRule="auto"/>
        <w:ind w:left="360"/>
        <w:jc w:val="both"/>
      </w:pPr>
      <w:r w:rsidRPr="00FB6BFF">
        <w:t xml:space="preserve">Moore, A., Lloyd, D. (2014). </w:t>
      </w:r>
      <w:r w:rsidRPr="00FB6BFF">
        <w:rPr>
          <w:i/>
        </w:rPr>
        <w:t>V jak Vendetta</w:t>
      </w:r>
      <w:r w:rsidRPr="00FB6BFF">
        <w:t xml:space="preserve"> (J. Drewnowski, tłum.). Warszawa: Egmont Polska.</w:t>
      </w:r>
      <w:r w:rsidR="00304C63" w:rsidRPr="00FB6BFF">
        <w:t xml:space="preserve"> (wyd. oryg. 1990)</w:t>
      </w:r>
      <w:r w:rsidR="00452278" w:rsidRPr="00FB6BFF">
        <w:t>.</w:t>
      </w:r>
    </w:p>
    <w:p w14:paraId="705FAC0D" w14:textId="437F4A20" w:rsidR="000136B2" w:rsidRPr="00FB6BFF" w:rsidRDefault="00505B23" w:rsidP="00BA1B4C">
      <w:pPr>
        <w:pStyle w:val="Akapitzlist"/>
        <w:numPr>
          <w:ilvl w:val="0"/>
          <w:numId w:val="19"/>
        </w:numPr>
        <w:spacing w:before="120" w:after="120" w:line="240" w:lineRule="auto"/>
        <w:jc w:val="both"/>
        <w:rPr>
          <w:b/>
          <w:bCs/>
        </w:rPr>
      </w:pPr>
      <w:r w:rsidRPr="00FB6BFF">
        <w:rPr>
          <w:b/>
          <w:bCs/>
        </w:rPr>
        <w:lastRenderedPageBreak/>
        <w:t>n</w:t>
      </w:r>
      <w:r w:rsidR="000136B2" w:rsidRPr="00FB6BFF">
        <w:rPr>
          <w:b/>
          <w:bCs/>
        </w:rPr>
        <w:t>ieopublikowane dysertacj</w:t>
      </w:r>
      <w:r w:rsidRPr="00FB6BFF">
        <w:rPr>
          <w:b/>
          <w:bCs/>
        </w:rPr>
        <w:t>e</w:t>
      </w:r>
      <w:r w:rsidR="000136B2" w:rsidRPr="00FB6BFF">
        <w:rPr>
          <w:b/>
          <w:bCs/>
        </w:rPr>
        <w:t xml:space="preserve"> i prac</w:t>
      </w:r>
      <w:r w:rsidRPr="00FB6BFF">
        <w:rPr>
          <w:b/>
          <w:bCs/>
        </w:rPr>
        <w:t>e</w:t>
      </w:r>
      <w:r w:rsidR="000136B2" w:rsidRPr="00FB6BFF">
        <w:rPr>
          <w:b/>
          <w:bCs/>
        </w:rPr>
        <w:t xml:space="preserve"> magistersk</w:t>
      </w:r>
      <w:r w:rsidRPr="00FB6BFF">
        <w:rPr>
          <w:b/>
          <w:bCs/>
        </w:rPr>
        <w:t>ie</w:t>
      </w:r>
    </w:p>
    <w:p w14:paraId="21586722" w14:textId="3E2E361C" w:rsidR="000136B2" w:rsidRPr="00FB6BFF" w:rsidRDefault="000136B2" w:rsidP="00BA1B4C">
      <w:pPr>
        <w:pStyle w:val="Akapitzlist"/>
        <w:spacing w:before="120" w:after="120" w:line="240" w:lineRule="auto"/>
        <w:ind w:left="360"/>
        <w:jc w:val="both"/>
      </w:pPr>
      <w:r w:rsidRPr="00FB6BFF">
        <w:t xml:space="preserve">Kowalska, A. (2002). </w:t>
      </w:r>
      <w:r w:rsidRPr="00FB6BFF">
        <w:rPr>
          <w:i/>
          <w:iCs/>
        </w:rPr>
        <w:t>Postaci dziecięce w twórczości E.</w:t>
      </w:r>
      <w:r w:rsidR="00A913C2">
        <w:rPr>
          <w:i/>
          <w:iCs/>
        </w:rPr>
        <w:t xml:space="preserve"> </w:t>
      </w:r>
      <w:r w:rsidRPr="00FB6BFF">
        <w:rPr>
          <w:i/>
          <w:iCs/>
        </w:rPr>
        <w:t>T.</w:t>
      </w:r>
      <w:r w:rsidR="00A913C2">
        <w:rPr>
          <w:i/>
          <w:iCs/>
        </w:rPr>
        <w:t xml:space="preserve"> </w:t>
      </w:r>
      <w:r w:rsidRPr="00FB6BFF">
        <w:rPr>
          <w:i/>
          <w:iCs/>
        </w:rPr>
        <w:t>A. Hoffmanna</w:t>
      </w:r>
      <w:r w:rsidRPr="00FB6BFF">
        <w:t>. Nieopublikowana praca magisterska, Wydział Polonistyki, Uniwersytet Warszawski, Warszawa.</w:t>
      </w:r>
    </w:p>
    <w:p w14:paraId="5779594B" w14:textId="69D1952E" w:rsidR="000136B2" w:rsidRPr="00FB6BFF" w:rsidRDefault="00505B23" w:rsidP="00BA1B4C">
      <w:pPr>
        <w:pStyle w:val="Akapitzlist"/>
        <w:numPr>
          <w:ilvl w:val="0"/>
          <w:numId w:val="19"/>
        </w:numPr>
        <w:spacing w:before="120" w:after="120" w:line="240" w:lineRule="auto"/>
        <w:jc w:val="both"/>
        <w:rPr>
          <w:b/>
          <w:bCs/>
        </w:rPr>
      </w:pPr>
      <w:r w:rsidRPr="00FB6BFF">
        <w:rPr>
          <w:b/>
          <w:bCs/>
        </w:rPr>
        <w:t>r</w:t>
      </w:r>
      <w:r w:rsidR="000136B2" w:rsidRPr="00FB6BFF">
        <w:rPr>
          <w:b/>
          <w:bCs/>
        </w:rPr>
        <w:t>eferat</w:t>
      </w:r>
      <w:r w:rsidRPr="00FB6BFF">
        <w:rPr>
          <w:b/>
          <w:bCs/>
        </w:rPr>
        <w:t>y</w:t>
      </w:r>
      <w:r w:rsidR="000136B2" w:rsidRPr="00FB6BFF">
        <w:rPr>
          <w:b/>
          <w:bCs/>
        </w:rPr>
        <w:t xml:space="preserve"> wygłoszon</w:t>
      </w:r>
      <w:r w:rsidRPr="00FB6BFF">
        <w:rPr>
          <w:b/>
          <w:bCs/>
        </w:rPr>
        <w:t>e</w:t>
      </w:r>
      <w:r w:rsidR="000136B2" w:rsidRPr="00FB6BFF">
        <w:rPr>
          <w:b/>
          <w:bCs/>
        </w:rPr>
        <w:t xml:space="preserve"> na konferencjach i innych spotkaniach</w:t>
      </w:r>
    </w:p>
    <w:p w14:paraId="65637932" w14:textId="77777777" w:rsidR="000136B2" w:rsidRPr="00FB6BFF" w:rsidRDefault="000136B2" w:rsidP="00BA1B4C">
      <w:pPr>
        <w:pStyle w:val="Akapitzlist"/>
        <w:spacing w:before="120" w:after="120" w:line="240" w:lineRule="auto"/>
        <w:ind w:left="360"/>
        <w:jc w:val="both"/>
      </w:pPr>
      <w:r w:rsidRPr="00FB6BFF">
        <w:t xml:space="preserve">Kostecka, W. (2017). </w:t>
      </w:r>
      <w:r w:rsidRPr="00FB6BFF">
        <w:rPr>
          <w:i/>
          <w:iCs/>
        </w:rPr>
        <w:t>Popkulturowe Krainy Czarów. Literackie konstrukty dziecięcego procesu poznawczego i doświadczania kultury popularnej</w:t>
      </w:r>
      <w:r w:rsidRPr="00FB6BFF">
        <w:t xml:space="preserve">. Referat wygłoszony na ogólnopolskiej konferencji naukowej „Dzieci i młodzież w kręgu kultury popularnej”, </w:t>
      </w:r>
      <w:r w:rsidRPr="00FB6BFF">
        <w:rPr>
          <w:rFonts w:cs="Calibri"/>
        </w:rPr>
        <w:t>Stowarzyszenie Badaczy Popkultury i Edukacji Popkulturowej „Trickster”, Wrocław</w:t>
      </w:r>
      <w:r w:rsidRPr="00FB6BFF">
        <w:t>.</w:t>
      </w:r>
    </w:p>
    <w:p w14:paraId="342D6308" w14:textId="72ADE7C6" w:rsidR="000136B2" w:rsidRPr="00FB6BFF" w:rsidRDefault="00505B23" w:rsidP="00BA1B4C">
      <w:pPr>
        <w:pStyle w:val="Akapitzlist"/>
        <w:numPr>
          <w:ilvl w:val="0"/>
          <w:numId w:val="19"/>
        </w:numPr>
        <w:spacing w:before="120" w:after="120" w:line="240" w:lineRule="auto"/>
        <w:jc w:val="both"/>
        <w:rPr>
          <w:b/>
        </w:rPr>
      </w:pPr>
      <w:r w:rsidRPr="00FB6BFF">
        <w:rPr>
          <w:b/>
        </w:rPr>
        <w:t>ź</w:t>
      </w:r>
      <w:r w:rsidR="000136B2" w:rsidRPr="00FB6BFF">
        <w:rPr>
          <w:b/>
        </w:rPr>
        <w:t>ródła internetowe</w:t>
      </w:r>
    </w:p>
    <w:p w14:paraId="4C3D0B03" w14:textId="59964B01" w:rsidR="000136B2" w:rsidRPr="00FB6BFF" w:rsidRDefault="000136B2" w:rsidP="00BA1B4C">
      <w:pPr>
        <w:pStyle w:val="Akapitzlist"/>
        <w:spacing w:before="120" w:after="120" w:line="240" w:lineRule="auto"/>
        <w:ind w:left="360"/>
        <w:jc w:val="both"/>
      </w:pPr>
      <w:r w:rsidRPr="00FB6BFF">
        <w:t xml:space="preserve">Kowolik, P. (2015). Kolekcjonerstwo dziecięce. W: D. Waloszek (red.), </w:t>
      </w:r>
      <w:r w:rsidRPr="00FB6BFF">
        <w:rPr>
          <w:i/>
        </w:rPr>
        <w:t>Encyklopedia dzieciństwa</w:t>
      </w:r>
      <w:r w:rsidRPr="00FB6BFF">
        <w:t>. Pobran</w:t>
      </w:r>
      <w:r w:rsidR="00B0372E" w:rsidRPr="00FB6BFF">
        <w:t>e</w:t>
      </w:r>
      <w:r w:rsidRPr="00FB6BFF">
        <w:t> z: </w:t>
      </w:r>
      <w:hyperlink r:id="rId14" w:history="1">
        <w:r w:rsidR="00B31A5D" w:rsidRPr="00FB6BFF">
          <w:rPr>
            <w:rStyle w:val="Hipercze"/>
          </w:rPr>
          <w:t>http://encyklopediadziecinstwa.pl/index.php?title=Kolekcjonerstwo_dzieci%C4%99ce</w:t>
        </w:r>
      </w:hyperlink>
      <w:r w:rsidR="00452278" w:rsidRPr="00FB6BFF">
        <w:t>.</w:t>
      </w:r>
    </w:p>
    <w:p w14:paraId="75C84BCA" w14:textId="3EEEBFF8" w:rsidR="0096204F" w:rsidRPr="00FB6BFF" w:rsidRDefault="0096204F" w:rsidP="00BA1B4C">
      <w:pPr>
        <w:pStyle w:val="Akapitzlist"/>
        <w:spacing w:before="120" w:after="120" w:line="240" w:lineRule="auto"/>
        <w:ind w:left="360"/>
        <w:jc w:val="both"/>
        <w:rPr>
          <w:lang w:val="en-US"/>
        </w:rPr>
      </w:pPr>
      <w:r w:rsidRPr="00FB6BFF">
        <w:rPr>
          <w:lang w:val="en-US"/>
        </w:rPr>
        <w:t xml:space="preserve">Mumford, G. (2017, 16 marca). </w:t>
      </w:r>
      <w:r w:rsidRPr="00FB6BFF">
        <w:rPr>
          <w:i/>
          <w:lang w:val="en-US"/>
        </w:rPr>
        <w:t>Beauty and the Beast</w:t>
      </w:r>
      <w:r w:rsidRPr="00FB6BFF">
        <w:rPr>
          <w:lang w:val="en-US"/>
        </w:rPr>
        <w:t xml:space="preserve">: Disney refuses to cut gay scene for Malaysian release. </w:t>
      </w:r>
      <w:r w:rsidRPr="00FB6BFF">
        <w:rPr>
          <w:i/>
          <w:lang w:val="en-US"/>
        </w:rPr>
        <w:t>The Guardian</w:t>
      </w:r>
      <w:r w:rsidRPr="00FB6BFF">
        <w:rPr>
          <w:lang w:val="en-US"/>
        </w:rPr>
        <w:t xml:space="preserve">. Pobrane z: </w:t>
      </w:r>
      <w:hyperlink r:id="rId15" w:history="1">
        <w:r w:rsidR="00BC3766" w:rsidRPr="00FB6BFF">
          <w:rPr>
            <w:rStyle w:val="Hipercze"/>
            <w:lang w:val="en-US"/>
          </w:rPr>
          <w:t>https://www.theguardian.com/film/2017/mar/16/beauty-and-the-beast-disney-gay-scene-malaysia</w:t>
        </w:r>
      </w:hyperlink>
      <w:r w:rsidRPr="00FB6BFF">
        <w:rPr>
          <w:lang w:val="en-US"/>
        </w:rPr>
        <w:t>.</w:t>
      </w:r>
    </w:p>
    <w:p w14:paraId="0B753A1E" w14:textId="5DDE7E96" w:rsidR="00A06CF2" w:rsidRPr="00FB6BFF" w:rsidRDefault="00203BE8" w:rsidP="00A06CF2">
      <w:pPr>
        <w:pStyle w:val="Akapitzlist"/>
        <w:numPr>
          <w:ilvl w:val="0"/>
          <w:numId w:val="19"/>
        </w:numPr>
        <w:spacing w:before="120" w:after="120" w:line="240" w:lineRule="auto"/>
        <w:jc w:val="both"/>
        <w:rPr>
          <w:b/>
          <w:bCs/>
        </w:rPr>
      </w:pPr>
      <w:r w:rsidRPr="00FB6BFF">
        <w:rPr>
          <w:b/>
          <w:bCs/>
        </w:rPr>
        <w:t>przedstawienia na żywo</w:t>
      </w:r>
    </w:p>
    <w:p w14:paraId="2B435981" w14:textId="7C7B0D8E" w:rsidR="00A06CF2" w:rsidRPr="00FB6BFF" w:rsidRDefault="00A06CF2" w:rsidP="00A06CF2">
      <w:pPr>
        <w:pStyle w:val="Akapitzlist"/>
        <w:spacing w:before="120" w:after="120" w:line="240" w:lineRule="auto"/>
        <w:ind w:left="360"/>
        <w:jc w:val="both"/>
        <w:rPr>
          <w:lang w:val="en-US"/>
        </w:rPr>
      </w:pPr>
      <w:r w:rsidRPr="00FB6BFF">
        <w:t>Miranda, L.-M. (</w:t>
      </w:r>
      <w:r w:rsidR="0096204F" w:rsidRPr="00FB6BFF">
        <w:t>muzyka i libretto</w:t>
      </w:r>
      <w:r w:rsidRPr="00FB6BFF">
        <w:t xml:space="preserve">), Kail, T. (reż.). </w:t>
      </w:r>
      <w:r w:rsidRPr="00FB6BFF">
        <w:rPr>
          <w:lang w:val="en-US"/>
        </w:rPr>
        <w:t>(</w:t>
      </w:r>
      <w:r w:rsidR="0096204F" w:rsidRPr="00FB6BFF">
        <w:rPr>
          <w:lang w:val="en-US"/>
        </w:rPr>
        <w:t xml:space="preserve">2015, </w:t>
      </w:r>
      <w:r w:rsidRPr="00FB6BFF">
        <w:rPr>
          <w:lang w:val="en-US"/>
        </w:rPr>
        <w:t>20</w:t>
      </w:r>
      <w:r w:rsidR="0096204F" w:rsidRPr="00FB6BFF">
        <w:rPr>
          <w:lang w:val="en-US"/>
        </w:rPr>
        <w:t xml:space="preserve"> stycznia</w:t>
      </w:r>
      <w:r w:rsidRPr="00FB6BFF">
        <w:rPr>
          <w:lang w:val="en-US"/>
        </w:rPr>
        <w:t xml:space="preserve">). </w:t>
      </w:r>
      <w:r w:rsidRPr="00FB6BFF">
        <w:rPr>
          <w:i/>
          <w:lang w:val="en-US"/>
        </w:rPr>
        <w:t>Hamilton: An American musical</w:t>
      </w:r>
      <w:r w:rsidRPr="00FB6BFF">
        <w:rPr>
          <w:lang w:val="en-US"/>
        </w:rPr>
        <w:t xml:space="preserve">. </w:t>
      </w:r>
      <w:r w:rsidR="0096204F" w:rsidRPr="00FB6BFF">
        <w:rPr>
          <w:lang w:val="en-US"/>
        </w:rPr>
        <w:t>Przedstawienie na żywo w</w:t>
      </w:r>
      <w:r w:rsidRPr="00FB6BFF">
        <w:rPr>
          <w:lang w:val="en-US"/>
        </w:rPr>
        <w:t xml:space="preserve"> Public Theater, New York, NY.</w:t>
      </w:r>
    </w:p>
    <w:p w14:paraId="33958DFF" w14:textId="77777777" w:rsidR="00A06CF2" w:rsidRPr="00FB6BFF" w:rsidRDefault="00A06CF2" w:rsidP="00BA1B4C">
      <w:pPr>
        <w:pStyle w:val="Akapitzlist"/>
        <w:spacing w:before="120" w:after="120" w:line="240" w:lineRule="auto"/>
        <w:ind w:left="360"/>
        <w:jc w:val="both"/>
        <w:rPr>
          <w:lang w:val="en-US"/>
        </w:rPr>
      </w:pPr>
    </w:p>
    <w:p w14:paraId="7F9389BE" w14:textId="77777777" w:rsidR="00203BE8" w:rsidRPr="00FB6BFF" w:rsidRDefault="00203BE8" w:rsidP="002116BD">
      <w:pPr>
        <w:pStyle w:val="Akapitzlist"/>
        <w:spacing w:before="120" w:after="120" w:line="240" w:lineRule="auto"/>
        <w:ind w:left="0"/>
        <w:jc w:val="both"/>
        <w:rPr>
          <w:lang w:val="en-US"/>
        </w:rPr>
      </w:pPr>
    </w:p>
    <w:p w14:paraId="6D54BD32" w14:textId="77777777" w:rsidR="00203BE8" w:rsidRPr="00FB6BFF" w:rsidRDefault="00203BE8" w:rsidP="002116BD">
      <w:pPr>
        <w:pStyle w:val="Akapitzlist"/>
        <w:spacing w:before="120" w:after="120" w:line="240" w:lineRule="auto"/>
        <w:ind w:left="0"/>
        <w:jc w:val="both"/>
        <w:rPr>
          <w:lang w:val="en-US"/>
        </w:rPr>
      </w:pPr>
    </w:p>
    <w:p w14:paraId="61D166D4" w14:textId="77777777" w:rsidR="00203BE8" w:rsidRPr="00FB6BFF" w:rsidRDefault="00203BE8" w:rsidP="002116BD">
      <w:pPr>
        <w:pStyle w:val="Akapitzlist"/>
        <w:spacing w:before="120" w:after="120" w:line="240" w:lineRule="auto"/>
        <w:ind w:left="0"/>
        <w:jc w:val="both"/>
        <w:rPr>
          <w:lang w:val="en-US"/>
        </w:rPr>
      </w:pPr>
    </w:p>
    <w:p w14:paraId="1C03A2E9" w14:textId="77777777" w:rsidR="00203BE8" w:rsidRPr="00FB6BFF" w:rsidRDefault="00203BE8" w:rsidP="002116BD">
      <w:pPr>
        <w:pStyle w:val="Akapitzlist"/>
        <w:spacing w:before="120" w:after="120" w:line="240" w:lineRule="auto"/>
        <w:ind w:left="0"/>
        <w:jc w:val="both"/>
        <w:rPr>
          <w:lang w:val="en-US"/>
        </w:rPr>
      </w:pPr>
    </w:p>
    <w:p w14:paraId="1AEF5049" w14:textId="77777777" w:rsidR="00203BE8" w:rsidRPr="00FB6BFF" w:rsidRDefault="00203BE8" w:rsidP="002116BD">
      <w:pPr>
        <w:pStyle w:val="Akapitzlist"/>
        <w:spacing w:before="120" w:after="120" w:line="240" w:lineRule="auto"/>
        <w:ind w:left="0"/>
        <w:jc w:val="both"/>
        <w:rPr>
          <w:lang w:val="en-US"/>
        </w:rPr>
      </w:pPr>
    </w:p>
    <w:p w14:paraId="7BFC0C42" w14:textId="77777777" w:rsidR="00203BE8" w:rsidRPr="00FB6BFF" w:rsidRDefault="00203BE8" w:rsidP="002116BD">
      <w:pPr>
        <w:pStyle w:val="Akapitzlist"/>
        <w:spacing w:before="120" w:after="120" w:line="240" w:lineRule="auto"/>
        <w:ind w:left="0"/>
        <w:jc w:val="both"/>
        <w:rPr>
          <w:lang w:val="en-US"/>
        </w:rPr>
      </w:pPr>
    </w:p>
    <w:p w14:paraId="3948DE88" w14:textId="77777777" w:rsidR="00203BE8" w:rsidRPr="00FB6BFF" w:rsidRDefault="00203BE8" w:rsidP="002116BD">
      <w:pPr>
        <w:pStyle w:val="Akapitzlist"/>
        <w:spacing w:before="120" w:after="120" w:line="240" w:lineRule="auto"/>
        <w:ind w:left="0"/>
        <w:jc w:val="both"/>
        <w:rPr>
          <w:lang w:val="en-US"/>
        </w:rPr>
      </w:pPr>
    </w:p>
    <w:p w14:paraId="4B9FAFB9" w14:textId="77777777" w:rsidR="00203BE8" w:rsidRPr="00FB6BFF" w:rsidRDefault="00203BE8" w:rsidP="002116BD">
      <w:pPr>
        <w:pStyle w:val="Akapitzlist"/>
        <w:spacing w:before="120" w:after="120" w:line="240" w:lineRule="auto"/>
        <w:ind w:left="0"/>
        <w:jc w:val="both"/>
        <w:rPr>
          <w:lang w:val="en-US"/>
        </w:rPr>
      </w:pPr>
    </w:p>
    <w:p w14:paraId="5695B07C" w14:textId="77777777" w:rsidR="00203BE8" w:rsidRPr="00FB6BFF" w:rsidRDefault="00203BE8" w:rsidP="002116BD">
      <w:pPr>
        <w:pStyle w:val="Akapitzlist"/>
        <w:spacing w:before="120" w:after="120" w:line="240" w:lineRule="auto"/>
        <w:ind w:left="0"/>
        <w:jc w:val="both"/>
        <w:rPr>
          <w:lang w:val="en-US"/>
        </w:rPr>
      </w:pPr>
    </w:p>
    <w:p w14:paraId="6F031505" w14:textId="77777777" w:rsidR="00203BE8" w:rsidRPr="00FB6BFF" w:rsidRDefault="00203BE8" w:rsidP="002116BD">
      <w:pPr>
        <w:pStyle w:val="Akapitzlist"/>
        <w:spacing w:before="120" w:after="120" w:line="240" w:lineRule="auto"/>
        <w:ind w:left="0"/>
        <w:jc w:val="both"/>
        <w:rPr>
          <w:lang w:val="en-US"/>
        </w:rPr>
      </w:pPr>
    </w:p>
    <w:p w14:paraId="14EEA930" w14:textId="77777777" w:rsidR="00203BE8" w:rsidRPr="00FB6BFF" w:rsidRDefault="00203BE8" w:rsidP="002116BD">
      <w:pPr>
        <w:pStyle w:val="Akapitzlist"/>
        <w:spacing w:before="120" w:after="120" w:line="240" w:lineRule="auto"/>
        <w:ind w:left="0"/>
        <w:jc w:val="both"/>
        <w:rPr>
          <w:lang w:val="en-US"/>
        </w:rPr>
      </w:pPr>
    </w:p>
    <w:p w14:paraId="21C4E103" w14:textId="77777777" w:rsidR="00203BE8" w:rsidRPr="00FB6BFF" w:rsidRDefault="00203BE8" w:rsidP="002116BD">
      <w:pPr>
        <w:pStyle w:val="Akapitzlist"/>
        <w:spacing w:before="120" w:after="120" w:line="240" w:lineRule="auto"/>
        <w:ind w:left="0"/>
        <w:jc w:val="both"/>
        <w:rPr>
          <w:lang w:val="en-US"/>
        </w:rPr>
      </w:pPr>
    </w:p>
    <w:p w14:paraId="243E29CD" w14:textId="77777777" w:rsidR="00203BE8" w:rsidRPr="00FB6BFF" w:rsidRDefault="00203BE8" w:rsidP="002116BD">
      <w:pPr>
        <w:pStyle w:val="Akapitzlist"/>
        <w:spacing w:before="120" w:after="120" w:line="240" w:lineRule="auto"/>
        <w:ind w:left="0"/>
        <w:jc w:val="both"/>
        <w:rPr>
          <w:lang w:val="en-US"/>
        </w:rPr>
      </w:pPr>
    </w:p>
    <w:p w14:paraId="5CFD5FA9" w14:textId="77777777" w:rsidR="00203BE8" w:rsidRPr="00FB6BFF" w:rsidRDefault="00203BE8" w:rsidP="002116BD">
      <w:pPr>
        <w:pStyle w:val="Akapitzlist"/>
        <w:spacing w:before="120" w:after="120" w:line="240" w:lineRule="auto"/>
        <w:ind w:left="0"/>
        <w:jc w:val="both"/>
        <w:rPr>
          <w:lang w:val="en-US"/>
        </w:rPr>
      </w:pPr>
    </w:p>
    <w:p w14:paraId="1A384B7B" w14:textId="77777777" w:rsidR="00203BE8" w:rsidRPr="00FB6BFF" w:rsidRDefault="00203BE8" w:rsidP="002116BD">
      <w:pPr>
        <w:pStyle w:val="Akapitzlist"/>
        <w:spacing w:before="120" w:after="120" w:line="240" w:lineRule="auto"/>
        <w:ind w:left="0"/>
        <w:jc w:val="both"/>
        <w:rPr>
          <w:lang w:val="en-US"/>
        </w:rPr>
      </w:pPr>
    </w:p>
    <w:p w14:paraId="33A07E49" w14:textId="77777777" w:rsidR="00203BE8" w:rsidRPr="00FB6BFF" w:rsidRDefault="00203BE8" w:rsidP="002116BD">
      <w:pPr>
        <w:pStyle w:val="Akapitzlist"/>
        <w:spacing w:before="120" w:after="120" w:line="240" w:lineRule="auto"/>
        <w:ind w:left="0"/>
        <w:jc w:val="both"/>
        <w:rPr>
          <w:lang w:val="en-US"/>
        </w:rPr>
      </w:pPr>
    </w:p>
    <w:p w14:paraId="013CFCB0" w14:textId="77777777" w:rsidR="00203BE8" w:rsidRPr="00FB6BFF" w:rsidRDefault="00203BE8" w:rsidP="002116BD">
      <w:pPr>
        <w:pStyle w:val="Akapitzlist"/>
        <w:spacing w:before="120" w:after="120" w:line="240" w:lineRule="auto"/>
        <w:ind w:left="0"/>
        <w:jc w:val="both"/>
        <w:rPr>
          <w:lang w:val="en-US"/>
        </w:rPr>
      </w:pPr>
    </w:p>
    <w:p w14:paraId="45BE51D2" w14:textId="77777777" w:rsidR="00203BE8" w:rsidRPr="00FB6BFF" w:rsidRDefault="00203BE8" w:rsidP="002116BD">
      <w:pPr>
        <w:pStyle w:val="Akapitzlist"/>
        <w:spacing w:before="120" w:after="120" w:line="240" w:lineRule="auto"/>
        <w:ind w:left="0"/>
        <w:jc w:val="both"/>
        <w:rPr>
          <w:lang w:val="en-US"/>
        </w:rPr>
      </w:pPr>
    </w:p>
    <w:p w14:paraId="43F7DB16" w14:textId="77777777" w:rsidR="00203BE8" w:rsidRPr="00FB6BFF" w:rsidRDefault="00203BE8" w:rsidP="002116BD">
      <w:pPr>
        <w:pStyle w:val="Akapitzlist"/>
        <w:spacing w:before="120" w:after="120" w:line="240" w:lineRule="auto"/>
        <w:ind w:left="0"/>
        <w:jc w:val="both"/>
        <w:rPr>
          <w:lang w:val="en-US"/>
        </w:rPr>
      </w:pPr>
    </w:p>
    <w:p w14:paraId="4C912146" w14:textId="77777777" w:rsidR="00203BE8" w:rsidRPr="00FB6BFF" w:rsidRDefault="00203BE8" w:rsidP="002116BD">
      <w:pPr>
        <w:pStyle w:val="Akapitzlist"/>
        <w:spacing w:before="120" w:after="120" w:line="240" w:lineRule="auto"/>
        <w:ind w:left="0"/>
        <w:jc w:val="both"/>
        <w:rPr>
          <w:lang w:val="en-US"/>
        </w:rPr>
      </w:pPr>
    </w:p>
    <w:p w14:paraId="0A284C86" w14:textId="0AA3E4E7" w:rsidR="002116BD" w:rsidRPr="00FB6BFF" w:rsidRDefault="002116BD" w:rsidP="002116BD">
      <w:pPr>
        <w:pStyle w:val="Akapitzlist"/>
        <w:spacing w:before="120" w:after="120" w:line="240" w:lineRule="auto"/>
        <w:ind w:left="0"/>
        <w:jc w:val="both"/>
        <w:rPr>
          <w:b/>
          <w:bCs/>
          <w:u w:val="single"/>
          <w:lang w:val="en-GB"/>
        </w:rPr>
      </w:pPr>
      <w:r w:rsidRPr="00FB6BFF">
        <w:rPr>
          <w:b/>
          <w:bCs/>
          <w:u w:val="single"/>
          <w:lang w:val="en-GB"/>
        </w:rPr>
        <w:t>Writing a reference list (for papers in English)</w:t>
      </w:r>
    </w:p>
    <w:p w14:paraId="470C6415" w14:textId="77777777" w:rsidR="002116BD" w:rsidRPr="00FB6BFF" w:rsidRDefault="002116BD" w:rsidP="002116BD">
      <w:pPr>
        <w:pStyle w:val="Akapitzlist"/>
        <w:spacing w:before="120" w:after="120" w:line="240" w:lineRule="auto"/>
        <w:ind w:left="0"/>
        <w:jc w:val="both"/>
        <w:rPr>
          <w:b/>
          <w:bCs/>
          <w:lang w:val="en-GB"/>
        </w:rPr>
      </w:pPr>
    </w:p>
    <w:p w14:paraId="41684455" w14:textId="730EFB57" w:rsidR="002116BD" w:rsidRPr="00FB6BFF" w:rsidRDefault="002116BD" w:rsidP="002116BD">
      <w:pPr>
        <w:pStyle w:val="Akapitzlist"/>
        <w:spacing w:before="120" w:after="120" w:line="240" w:lineRule="auto"/>
        <w:ind w:left="0"/>
        <w:jc w:val="both"/>
        <w:rPr>
          <w:b/>
          <w:bCs/>
          <w:lang w:val="en-GB"/>
        </w:rPr>
      </w:pPr>
      <w:r w:rsidRPr="00FB6BFF">
        <w:rPr>
          <w:b/>
          <w:bCs/>
          <w:lang w:val="en-GB"/>
        </w:rPr>
        <w:t>Books</w:t>
      </w:r>
    </w:p>
    <w:p w14:paraId="58124E63" w14:textId="3F2EE549" w:rsidR="002116BD" w:rsidRPr="00FB6BFF" w:rsidRDefault="002116BD" w:rsidP="002116BD">
      <w:pPr>
        <w:pStyle w:val="Akapitzlis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120" w:line="240" w:lineRule="auto"/>
        <w:ind w:left="0"/>
        <w:jc w:val="both"/>
        <w:rPr>
          <w:b/>
          <w:bCs/>
          <w:sz w:val="20"/>
          <w:lang w:val="en-GB"/>
        </w:rPr>
      </w:pPr>
      <w:r w:rsidRPr="00FB6BFF">
        <w:rPr>
          <w:b/>
          <w:bCs/>
          <w:sz w:val="20"/>
          <w:lang w:val="en-GB"/>
        </w:rPr>
        <w:t>Please note that:</w:t>
      </w:r>
    </w:p>
    <w:p w14:paraId="5156202E" w14:textId="7777961F" w:rsidR="002116BD" w:rsidRPr="00FB6BFF" w:rsidRDefault="002116BD" w:rsidP="002116BD">
      <w:pPr>
        <w:pStyle w:val="Akapitzlist"/>
        <w:numPr>
          <w:ilvl w:val="0"/>
          <w:numId w:val="13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120" w:line="240" w:lineRule="auto"/>
        <w:jc w:val="both"/>
        <w:rPr>
          <w:bCs/>
          <w:sz w:val="20"/>
          <w:lang w:val="en-GB"/>
        </w:rPr>
      </w:pPr>
      <w:r w:rsidRPr="00FB6BFF">
        <w:rPr>
          <w:bCs/>
          <w:sz w:val="20"/>
          <w:lang w:val="en-GB"/>
        </w:rPr>
        <w:t>book titles and subtitles are in italics</w:t>
      </w:r>
    </w:p>
    <w:p w14:paraId="1109EE26" w14:textId="227C284A" w:rsidR="002116BD" w:rsidRPr="00FB6BFF" w:rsidRDefault="002116BD" w:rsidP="002116BD">
      <w:pPr>
        <w:pStyle w:val="Akapitzlist"/>
        <w:numPr>
          <w:ilvl w:val="0"/>
          <w:numId w:val="13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120" w:line="240" w:lineRule="auto"/>
        <w:jc w:val="both"/>
        <w:rPr>
          <w:bCs/>
          <w:sz w:val="20"/>
          <w:lang w:val="en-GB"/>
        </w:rPr>
      </w:pPr>
      <w:r w:rsidRPr="00FB6BFF">
        <w:rPr>
          <w:bCs/>
          <w:sz w:val="20"/>
          <w:lang w:val="en-GB"/>
        </w:rPr>
        <w:t xml:space="preserve">for English-language works, titles and subtitles are separated </w:t>
      </w:r>
      <w:r w:rsidR="000A39A3" w:rsidRPr="00FB6BFF">
        <w:rPr>
          <w:bCs/>
          <w:sz w:val="20"/>
          <w:lang w:val="en-GB"/>
        </w:rPr>
        <w:t>by</w:t>
      </w:r>
      <w:r w:rsidRPr="00FB6BFF">
        <w:rPr>
          <w:bCs/>
          <w:sz w:val="20"/>
          <w:lang w:val="en-GB"/>
        </w:rPr>
        <w:t xml:space="preserve"> a colon</w:t>
      </w:r>
    </w:p>
    <w:p w14:paraId="302BCB21" w14:textId="0F4AA2DD" w:rsidR="002116BD" w:rsidRPr="00FB6BFF" w:rsidRDefault="002116BD" w:rsidP="002116BD">
      <w:pPr>
        <w:pStyle w:val="Akapitzlist"/>
        <w:numPr>
          <w:ilvl w:val="0"/>
          <w:numId w:val="13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120" w:line="240" w:lineRule="auto"/>
        <w:jc w:val="both"/>
        <w:rPr>
          <w:bCs/>
          <w:sz w:val="20"/>
          <w:lang w:val="en-GB"/>
        </w:rPr>
      </w:pPr>
      <w:r w:rsidRPr="00FB6BFF">
        <w:rPr>
          <w:bCs/>
          <w:sz w:val="20"/>
          <w:lang w:val="en-GB"/>
        </w:rPr>
        <w:t>for non-English-language works,</w:t>
      </w:r>
      <w:r w:rsidR="000A39A3" w:rsidRPr="00FB6BFF">
        <w:rPr>
          <w:bCs/>
          <w:sz w:val="20"/>
          <w:lang w:val="en-GB"/>
        </w:rPr>
        <w:t xml:space="preserve"> use the convention appropriate for the language (e.g. in the case of Polish-language </w:t>
      </w:r>
      <w:r w:rsidR="00DF45F7" w:rsidRPr="00FB6BFF">
        <w:rPr>
          <w:bCs/>
          <w:sz w:val="20"/>
          <w:lang w:val="en-GB"/>
        </w:rPr>
        <w:t>books</w:t>
      </w:r>
      <w:r w:rsidR="000A39A3" w:rsidRPr="00FB6BFF">
        <w:rPr>
          <w:bCs/>
          <w:sz w:val="20"/>
          <w:lang w:val="en-GB"/>
        </w:rPr>
        <w:t>, titles and subtitles are separated by a period)</w:t>
      </w:r>
      <w:r w:rsidRPr="00FB6BFF">
        <w:rPr>
          <w:bCs/>
          <w:sz w:val="20"/>
          <w:lang w:val="en-GB"/>
        </w:rPr>
        <w:t xml:space="preserve"> </w:t>
      </w:r>
    </w:p>
    <w:p w14:paraId="1B1C9013" w14:textId="16F08CC6" w:rsidR="002116BD" w:rsidRPr="00FB6BFF" w:rsidRDefault="000A39A3" w:rsidP="002116BD">
      <w:pPr>
        <w:pStyle w:val="Akapitzlist"/>
        <w:numPr>
          <w:ilvl w:val="0"/>
          <w:numId w:val="13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120" w:line="240" w:lineRule="auto"/>
        <w:jc w:val="both"/>
        <w:rPr>
          <w:b/>
          <w:sz w:val="20"/>
          <w:szCs w:val="20"/>
          <w:lang w:val="en-GB"/>
        </w:rPr>
      </w:pPr>
      <w:r w:rsidRPr="00FB6BFF">
        <w:rPr>
          <w:sz w:val="20"/>
          <w:szCs w:val="20"/>
          <w:lang w:val="en-GB"/>
        </w:rPr>
        <w:t xml:space="preserve">if a book has a DOI, </w:t>
      </w:r>
      <w:r w:rsidR="00DF45F7" w:rsidRPr="00FB6BFF">
        <w:rPr>
          <w:sz w:val="20"/>
          <w:szCs w:val="20"/>
          <w:lang w:val="en-GB"/>
        </w:rPr>
        <w:t>please</w:t>
      </w:r>
      <w:r w:rsidRPr="00FB6BFF">
        <w:rPr>
          <w:sz w:val="20"/>
          <w:szCs w:val="20"/>
          <w:lang w:val="en-GB"/>
        </w:rPr>
        <w:t xml:space="preserve"> add</w:t>
      </w:r>
      <w:r w:rsidR="00DF45F7" w:rsidRPr="00FB6BFF">
        <w:rPr>
          <w:sz w:val="20"/>
          <w:szCs w:val="20"/>
          <w:lang w:val="en-GB"/>
        </w:rPr>
        <w:t xml:space="preserve"> it</w:t>
      </w:r>
      <w:r w:rsidRPr="00FB6BFF">
        <w:rPr>
          <w:sz w:val="20"/>
          <w:szCs w:val="20"/>
          <w:lang w:val="en-GB"/>
        </w:rPr>
        <w:t xml:space="preserve"> after the title or subtitle (</w:t>
      </w:r>
      <w:r w:rsidR="00DF45F7" w:rsidRPr="00FB6BFF">
        <w:rPr>
          <w:sz w:val="20"/>
          <w:szCs w:val="20"/>
          <w:lang w:val="en-GB"/>
        </w:rPr>
        <w:t xml:space="preserve">and, </w:t>
      </w:r>
      <w:r w:rsidRPr="00FB6BFF">
        <w:rPr>
          <w:sz w:val="20"/>
          <w:szCs w:val="20"/>
          <w:lang w:val="en-GB"/>
        </w:rPr>
        <w:t>also</w:t>
      </w:r>
      <w:r w:rsidR="00DF45F7" w:rsidRPr="00FB6BFF">
        <w:rPr>
          <w:sz w:val="20"/>
          <w:szCs w:val="20"/>
          <w:lang w:val="en-GB"/>
        </w:rPr>
        <w:t>,</w:t>
      </w:r>
      <w:r w:rsidRPr="00FB6BFF">
        <w:rPr>
          <w:sz w:val="20"/>
          <w:szCs w:val="20"/>
          <w:lang w:val="en-GB"/>
        </w:rPr>
        <w:t xml:space="preserve"> after a period)</w:t>
      </w:r>
      <w:r w:rsidR="002116BD" w:rsidRPr="00FB6BFF">
        <w:rPr>
          <w:sz w:val="20"/>
          <w:szCs w:val="20"/>
          <w:lang w:val="en-GB"/>
        </w:rPr>
        <w:t xml:space="preserve">; </w:t>
      </w:r>
      <w:r w:rsidRPr="00FB6BFF">
        <w:rPr>
          <w:sz w:val="20"/>
          <w:szCs w:val="20"/>
          <w:lang w:val="en-GB"/>
        </w:rPr>
        <w:t xml:space="preserve">in this case, there is no need to include </w:t>
      </w:r>
      <w:r w:rsidR="00DF45F7" w:rsidRPr="00FB6BFF">
        <w:rPr>
          <w:sz w:val="20"/>
          <w:szCs w:val="20"/>
          <w:lang w:val="en-GB"/>
        </w:rPr>
        <w:t xml:space="preserve">the </w:t>
      </w:r>
      <w:r w:rsidRPr="00FB6BFF">
        <w:rPr>
          <w:sz w:val="20"/>
          <w:szCs w:val="20"/>
          <w:lang w:val="en-GB"/>
        </w:rPr>
        <w:t>publisher</w:t>
      </w:r>
      <w:r w:rsidR="00DF45F7" w:rsidRPr="00FB6BFF">
        <w:rPr>
          <w:sz w:val="20"/>
          <w:szCs w:val="20"/>
          <w:lang w:val="en-GB"/>
        </w:rPr>
        <w:t>’s name</w:t>
      </w:r>
      <w:r w:rsidRPr="00FB6BFF">
        <w:rPr>
          <w:sz w:val="20"/>
          <w:szCs w:val="20"/>
          <w:lang w:val="en-GB"/>
        </w:rPr>
        <w:t xml:space="preserve"> and </w:t>
      </w:r>
      <w:r w:rsidR="00DF45F7" w:rsidRPr="00FB6BFF">
        <w:rPr>
          <w:sz w:val="20"/>
          <w:szCs w:val="20"/>
          <w:lang w:val="en-GB"/>
        </w:rPr>
        <w:t xml:space="preserve">the </w:t>
      </w:r>
      <w:r w:rsidRPr="00FB6BFF">
        <w:rPr>
          <w:sz w:val="20"/>
          <w:szCs w:val="20"/>
          <w:lang w:val="en-GB"/>
        </w:rPr>
        <w:t xml:space="preserve">city of publication. </w:t>
      </w:r>
    </w:p>
    <w:p w14:paraId="31CFEFA3" w14:textId="6308BE5B" w:rsidR="002116BD" w:rsidRPr="00FB6BFF" w:rsidRDefault="000D7FC3" w:rsidP="002116BD">
      <w:pPr>
        <w:pStyle w:val="Akapitzlist"/>
        <w:numPr>
          <w:ilvl w:val="0"/>
          <w:numId w:val="3"/>
        </w:numPr>
        <w:spacing w:before="120" w:after="120" w:line="240" w:lineRule="auto"/>
        <w:ind w:left="0"/>
        <w:jc w:val="both"/>
        <w:rPr>
          <w:b/>
          <w:lang w:val="en-GB"/>
        </w:rPr>
      </w:pPr>
      <w:r w:rsidRPr="00FB6BFF">
        <w:rPr>
          <w:b/>
          <w:lang w:val="en-GB"/>
        </w:rPr>
        <w:t xml:space="preserve">books by </w:t>
      </w:r>
      <w:r w:rsidR="000A39A3" w:rsidRPr="00FB6BFF">
        <w:rPr>
          <w:b/>
          <w:lang w:val="en-GB"/>
        </w:rPr>
        <w:t>one author, in English</w:t>
      </w:r>
    </w:p>
    <w:p w14:paraId="112905AD" w14:textId="33973678" w:rsidR="002116BD" w:rsidRPr="00FB6BFF" w:rsidRDefault="000A39A3" w:rsidP="002116BD">
      <w:pPr>
        <w:pStyle w:val="Akapitzlist"/>
        <w:spacing w:before="120" w:after="120" w:line="240" w:lineRule="auto"/>
        <w:jc w:val="both"/>
        <w:rPr>
          <w:lang w:val="en-GB"/>
        </w:rPr>
      </w:pPr>
      <w:r w:rsidRPr="00FB6BFF">
        <w:rPr>
          <w:lang w:val="en-GB"/>
        </w:rPr>
        <w:t xml:space="preserve">Kincaid, J. R. (1992). </w:t>
      </w:r>
      <w:r w:rsidRPr="00FB6BFF">
        <w:rPr>
          <w:i/>
          <w:lang w:val="en-GB"/>
        </w:rPr>
        <w:t>Child-loving: The erotic child and Victorian culture</w:t>
      </w:r>
      <w:r w:rsidR="00A913C2">
        <w:rPr>
          <w:lang w:val="en-GB"/>
        </w:rPr>
        <w:t>. New York, NY</w:t>
      </w:r>
      <w:r w:rsidRPr="00FB6BFF">
        <w:rPr>
          <w:lang w:val="en-GB"/>
        </w:rPr>
        <w:t xml:space="preserve"> &amp; London: Routledge.</w:t>
      </w:r>
    </w:p>
    <w:p w14:paraId="6DCB7FEF" w14:textId="617B8DB0" w:rsidR="002116BD" w:rsidRPr="00FB6BFF" w:rsidRDefault="000D7FC3" w:rsidP="002116BD">
      <w:pPr>
        <w:pStyle w:val="Akapitzlist"/>
        <w:numPr>
          <w:ilvl w:val="0"/>
          <w:numId w:val="3"/>
        </w:numPr>
        <w:spacing w:before="120" w:after="120" w:line="240" w:lineRule="auto"/>
        <w:ind w:left="0"/>
        <w:jc w:val="both"/>
        <w:rPr>
          <w:rStyle w:val="addmd"/>
          <w:b/>
          <w:lang w:val="en-GB"/>
        </w:rPr>
      </w:pPr>
      <w:r w:rsidRPr="00FB6BFF">
        <w:rPr>
          <w:rStyle w:val="addmd"/>
          <w:b/>
          <w:lang w:val="en-GB"/>
        </w:rPr>
        <w:t xml:space="preserve">books by </w:t>
      </w:r>
      <w:r w:rsidR="000A39A3" w:rsidRPr="00FB6BFF">
        <w:rPr>
          <w:rStyle w:val="addmd"/>
          <w:b/>
          <w:lang w:val="en-GB"/>
        </w:rPr>
        <w:t>one author</w:t>
      </w:r>
      <w:r w:rsidR="002116BD" w:rsidRPr="00FB6BFF">
        <w:rPr>
          <w:rStyle w:val="addmd"/>
          <w:b/>
          <w:lang w:val="en-GB"/>
        </w:rPr>
        <w:t xml:space="preserve">, </w:t>
      </w:r>
      <w:r w:rsidR="000A39A3" w:rsidRPr="00FB6BFF">
        <w:rPr>
          <w:rStyle w:val="addmd"/>
          <w:b/>
          <w:lang w:val="en-GB"/>
        </w:rPr>
        <w:t>in Polish</w:t>
      </w:r>
    </w:p>
    <w:p w14:paraId="32F7D59B" w14:textId="4B115E74" w:rsidR="002116BD" w:rsidRPr="00FB6BFF" w:rsidRDefault="000A39A3" w:rsidP="000A39A3">
      <w:pPr>
        <w:pStyle w:val="Akapitzlist"/>
        <w:spacing w:before="120" w:after="120" w:line="240" w:lineRule="auto"/>
        <w:jc w:val="both"/>
        <w:rPr>
          <w:lang w:val="en-GB"/>
        </w:rPr>
      </w:pPr>
      <w:r w:rsidRPr="00FB6BFF">
        <w:t xml:space="preserve">Papuzińska, J. (2008). </w:t>
      </w:r>
      <w:r w:rsidRPr="00FB6BFF">
        <w:rPr>
          <w:i/>
        </w:rPr>
        <w:t>Zatopione królestwo. O polskiej literaturze fantastycznej XX wieku dla dzieci i młodzieży</w:t>
      </w:r>
      <w:r w:rsidRPr="00FB6BFF">
        <w:t xml:space="preserve"> </w:t>
      </w:r>
      <w:r w:rsidR="002A6634" w:rsidRPr="00FB6BFF">
        <w:t>(exp. 2nd ed.)</w:t>
      </w:r>
      <w:r w:rsidRPr="00FB6BFF">
        <w:t xml:space="preserve">. </w:t>
      </w:r>
      <w:r w:rsidRPr="00FB6BFF">
        <w:rPr>
          <w:lang w:val="en-GB"/>
        </w:rPr>
        <w:t>Łódź: Literatura.</w:t>
      </w:r>
    </w:p>
    <w:p w14:paraId="68CA76CB" w14:textId="5BF7709A" w:rsidR="002116BD" w:rsidRPr="00FB6BFF" w:rsidRDefault="000D7FC3" w:rsidP="002116BD">
      <w:pPr>
        <w:pStyle w:val="Akapitzlist"/>
        <w:numPr>
          <w:ilvl w:val="0"/>
          <w:numId w:val="3"/>
        </w:numPr>
        <w:spacing w:before="120" w:after="120" w:line="240" w:lineRule="auto"/>
        <w:ind w:left="0"/>
        <w:jc w:val="both"/>
        <w:rPr>
          <w:rStyle w:val="addmd"/>
          <w:b/>
          <w:lang w:val="en-GB"/>
        </w:rPr>
      </w:pPr>
      <w:r w:rsidRPr="00FB6BFF">
        <w:rPr>
          <w:rStyle w:val="addmd"/>
          <w:b/>
          <w:lang w:val="en-GB"/>
        </w:rPr>
        <w:t xml:space="preserve">books by </w:t>
      </w:r>
      <w:r w:rsidR="000A39A3" w:rsidRPr="00FB6BFF">
        <w:rPr>
          <w:rStyle w:val="addmd"/>
          <w:b/>
          <w:lang w:val="en-GB"/>
        </w:rPr>
        <w:t>more than one author</w:t>
      </w:r>
    </w:p>
    <w:p w14:paraId="3A3C41A2" w14:textId="74615F34" w:rsidR="002116BD" w:rsidRPr="00FB6BFF" w:rsidRDefault="000A39A3" w:rsidP="002116BD">
      <w:pPr>
        <w:pStyle w:val="Akapitzlist"/>
        <w:spacing w:before="120" w:after="120" w:line="240" w:lineRule="auto"/>
        <w:ind w:left="708"/>
        <w:jc w:val="both"/>
        <w:rPr>
          <w:rStyle w:val="addmd"/>
          <w:lang w:val="en-US"/>
        </w:rPr>
      </w:pPr>
      <w:r w:rsidRPr="00FB6BFF">
        <w:rPr>
          <w:rStyle w:val="addmd"/>
          <w:lang w:val="en-GB"/>
        </w:rPr>
        <w:t xml:space="preserve">Bellairs, J., &amp; Strickland, B. (1993). </w:t>
      </w:r>
      <w:r w:rsidRPr="00FB6BFF">
        <w:rPr>
          <w:rStyle w:val="addmd"/>
          <w:i/>
          <w:lang w:val="en-GB"/>
        </w:rPr>
        <w:t>The ghost in the mirror</w:t>
      </w:r>
      <w:r w:rsidRPr="00FB6BFF">
        <w:rPr>
          <w:rStyle w:val="addmd"/>
          <w:lang w:val="en-GB"/>
        </w:rPr>
        <w:t>. New York, NY: Dial Book</w:t>
      </w:r>
      <w:r w:rsidR="00A913C2">
        <w:rPr>
          <w:rStyle w:val="addmd"/>
          <w:lang w:val="en-GB"/>
        </w:rPr>
        <w:t>s</w:t>
      </w:r>
      <w:r w:rsidRPr="00FB6BFF">
        <w:rPr>
          <w:rStyle w:val="addmd"/>
          <w:lang w:val="en-GB"/>
        </w:rPr>
        <w:t xml:space="preserve"> for Young</w:t>
      </w:r>
      <w:r w:rsidRPr="00FB6BFF">
        <w:rPr>
          <w:rStyle w:val="addmd"/>
          <w:lang w:val="en-US"/>
        </w:rPr>
        <w:t xml:space="preserve"> Readers.</w:t>
      </w:r>
    </w:p>
    <w:p w14:paraId="34AEAF4E" w14:textId="3EA7B1B7" w:rsidR="002116BD" w:rsidRPr="00FB6BFF" w:rsidRDefault="000A39A3" w:rsidP="002116BD">
      <w:pPr>
        <w:pStyle w:val="Akapitzlist"/>
        <w:numPr>
          <w:ilvl w:val="0"/>
          <w:numId w:val="3"/>
        </w:numPr>
        <w:spacing w:before="120" w:after="120" w:line="240" w:lineRule="auto"/>
        <w:ind w:left="0"/>
        <w:jc w:val="both"/>
        <w:rPr>
          <w:b/>
        </w:rPr>
      </w:pPr>
      <w:r w:rsidRPr="00FB6BFF">
        <w:rPr>
          <w:b/>
        </w:rPr>
        <w:t>translated book</w:t>
      </w:r>
      <w:r w:rsidR="000D7FC3" w:rsidRPr="00FB6BFF">
        <w:rPr>
          <w:b/>
        </w:rPr>
        <w:t>s</w:t>
      </w:r>
    </w:p>
    <w:p w14:paraId="2C8819CE" w14:textId="199F1267" w:rsidR="002116BD" w:rsidRPr="00FB6BFF" w:rsidRDefault="000A39A3" w:rsidP="002116BD">
      <w:pPr>
        <w:pStyle w:val="Akapitzlist"/>
        <w:spacing w:before="120" w:after="120" w:line="240" w:lineRule="auto"/>
        <w:jc w:val="both"/>
        <w:rPr>
          <w:lang w:val="en-US"/>
        </w:rPr>
      </w:pPr>
      <w:r w:rsidRPr="00FB6BFF">
        <w:rPr>
          <w:lang w:val="en-US"/>
        </w:rPr>
        <w:t xml:space="preserve">Eco, U. (2003). </w:t>
      </w:r>
      <w:r w:rsidRPr="00FB6BFF">
        <w:rPr>
          <w:i/>
          <w:lang w:val="en-US"/>
        </w:rPr>
        <w:t>Baudolino</w:t>
      </w:r>
      <w:r w:rsidRPr="00FB6BFF">
        <w:rPr>
          <w:lang w:val="en-US"/>
        </w:rPr>
        <w:t xml:space="preserve"> (W. Weaver, trans.). London: Vintage Books. (Original work published 2000).</w:t>
      </w:r>
    </w:p>
    <w:p w14:paraId="7C52BED6" w14:textId="1B730746" w:rsidR="002116BD" w:rsidRPr="00FB6BFF" w:rsidRDefault="000D7FC3" w:rsidP="002116BD">
      <w:pPr>
        <w:pStyle w:val="Akapitzlist"/>
        <w:numPr>
          <w:ilvl w:val="0"/>
          <w:numId w:val="22"/>
        </w:numPr>
        <w:spacing w:before="120" w:after="120" w:line="240" w:lineRule="auto"/>
        <w:jc w:val="both"/>
        <w:rPr>
          <w:sz w:val="18"/>
          <w:lang w:val="en-US"/>
        </w:rPr>
      </w:pPr>
      <w:r w:rsidRPr="00FB6BFF">
        <w:rPr>
          <w:sz w:val="18"/>
          <w:lang w:val="en-US"/>
        </w:rPr>
        <w:t>in this case, the in-text reference should be: (Eco, 2000/2003); this applies not only to translations, but also to subsequent editions of the works referred to.</w:t>
      </w:r>
    </w:p>
    <w:p w14:paraId="0D701121" w14:textId="4259974A" w:rsidR="002116BD" w:rsidRPr="00FB6BFF" w:rsidRDefault="000D7FC3" w:rsidP="002116BD">
      <w:pPr>
        <w:pStyle w:val="Akapitzlist"/>
        <w:numPr>
          <w:ilvl w:val="0"/>
          <w:numId w:val="3"/>
        </w:numPr>
        <w:spacing w:before="120" w:after="120" w:line="240" w:lineRule="auto"/>
        <w:ind w:left="0"/>
        <w:jc w:val="both"/>
        <w:rPr>
          <w:b/>
        </w:rPr>
      </w:pPr>
      <w:r w:rsidRPr="00FB6BFF">
        <w:rPr>
          <w:b/>
        </w:rPr>
        <w:t>edited books</w:t>
      </w:r>
    </w:p>
    <w:p w14:paraId="1F4DDC5B" w14:textId="2328D9CC" w:rsidR="002116BD" w:rsidRPr="00FB6BFF" w:rsidRDefault="000D7FC3" w:rsidP="002116BD">
      <w:pPr>
        <w:pStyle w:val="Akapitzlist"/>
        <w:spacing w:before="120" w:after="120" w:line="240" w:lineRule="auto"/>
        <w:jc w:val="both"/>
      </w:pPr>
      <w:r w:rsidRPr="00FB6BFF">
        <w:rPr>
          <w:iCs/>
          <w:lang w:val="en-US"/>
        </w:rPr>
        <w:t xml:space="preserve">McCort, J. R. (Ed.). (2016). Reading in the dark: Horror in children’s literature and culture. </w:t>
      </w:r>
      <w:r w:rsidRPr="00FB6BFF">
        <w:rPr>
          <w:iCs/>
        </w:rPr>
        <w:t>Jackson, MS: University Press of Mississippi.</w:t>
      </w:r>
    </w:p>
    <w:p w14:paraId="090B5FD6" w14:textId="76534420" w:rsidR="002116BD" w:rsidRPr="00FB6BFF" w:rsidRDefault="00731BDB" w:rsidP="002116BD">
      <w:pPr>
        <w:pStyle w:val="Akapitzlist"/>
        <w:numPr>
          <w:ilvl w:val="1"/>
          <w:numId w:val="3"/>
        </w:numPr>
        <w:spacing w:before="120" w:after="120" w:line="240" w:lineRule="auto"/>
        <w:ind w:left="0"/>
        <w:jc w:val="both"/>
        <w:rPr>
          <w:b/>
          <w:bCs/>
        </w:rPr>
      </w:pPr>
      <w:r w:rsidRPr="00FB6BFF">
        <w:rPr>
          <w:b/>
          <w:bCs/>
        </w:rPr>
        <w:t>b</w:t>
      </w:r>
      <w:r w:rsidR="000D7FC3" w:rsidRPr="00FB6BFF">
        <w:rPr>
          <w:b/>
          <w:bCs/>
        </w:rPr>
        <w:t>ooks with</w:t>
      </w:r>
      <w:r w:rsidR="002116BD" w:rsidRPr="00FB6BFF">
        <w:rPr>
          <w:b/>
          <w:bCs/>
        </w:rPr>
        <w:t xml:space="preserve"> DOI</w:t>
      </w:r>
      <w:r w:rsidR="00DF45F7" w:rsidRPr="00FB6BFF">
        <w:rPr>
          <w:b/>
          <w:bCs/>
        </w:rPr>
        <w:t>s</w:t>
      </w:r>
    </w:p>
    <w:p w14:paraId="146840E1" w14:textId="3FAE36FA" w:rsidR="002116BD" w:rsidRPr="00FB6BFF" w:rsidRDefault="002116BD" w:rsidP="002116BD">
      <w:pPr>
        <w:pStyle w:val="Akapitzlist"/>
        <w:spacing w:before="120" w:after="120"/>
        <w:ind w:left="708"/>
        <w:jc w:val="both"/>
        <w:rPr>
          <w:bCs/>
          <w:lang w:val="en-US"/>
        </w:rPr>
      </w:pPr>
      <w:r w:rsidRPr="00FB6BFF">
        <w:rPr>
          <w:bCs/>
          <w:lang w:val="nb-NO"/>
        </w:rPr>
        <w:t>Kümmerling-Meibauer</w:t>
      </w:r>
      <w:r w:rsidRPr="00FB6BFF">
        <w:rPr>
          <w:bCs/>
          <w:lang w:val="en-US"/>
        </w:rPr>
        <w:t>, B. (</w:t>
      </w:r>
      <w:r w:rsidR="000D7FC3" w:rsidRPr="00FB6BFF">
        <w:rPr>
          <w:bCs/>
          <w:lang w:val="en-US"/>
        </w:rPr>
        <w:t>Ed</w:t>
      </w:r>
      <w:r w:rsidRPr="00FB6BFF">
        <w:rPr>
          <w:bCs/>
          <w:lang w:val="en-US"/>
        </w:rPr>
        <w:t xml:space="preserve">.). (2011). </w:t>
      </w:r>
      <w:r w:rsidRPr="00FB6BFF">
        <w:rPr>
          <w:bCs/>
          <w:i/>
          <w:lang w:val="en-US"/>
        </w:rPr>
        <w:t>Emergent literacy: Children’s books from 0 to 3</w:t>
      </w:r>
      <w:r w:rsidRPr="00FB6BFF">
        <w:rPr>
          <w:bCs/>
          <w:lang w:val="en-US"/>
        </w:rPr>
        <w:t xml:space="preserve">. </w:t>
      </w:r>
      <w:hyperlink r:id="rId16" w:history="1">
        <w:r w:rsidR="00BC3766" w:rsidRPr="00FB6BFF">
          <w:rPr>
            <w:rStyle w:val="Hipercze"/>
            <w:bCs/>
            <w:lang w:val="en-US"/>
          </w:rPr>
          <w:t>https://doi.org/10.1075/swll.13.01kum</w:t>
        </w:r>
      </w:hyperlink>
      <w:r w:rsidRPr="00FB6BFF">
        <w:rPr>
          <w:bCs/>
          <w:lang w:val="en-US"/>
        </w:rPr>
        <w:t>.</w:t>
      </w:r>
    </w:p>
    <w:p w14:paraId="7E8DAAB0" w14:textId="58BB6F87" w:rsidR="002116BD" w:rsidRPr="00FB6BFF" w:rsidRDefault="000D7FC3" w:rsidP="000D7FC3">
      <w:pPr>
        <w:pStyle w:val="Akapitzlist"/>
        <w:numPr>
          <w:ilvl w:val="0"/>
          <w:numId w:val="21"/>
        </w:numPr>
        <w:spacing w:before="120" w:after="120"/>
        <w:ind w:left="0" w:firstLine="0"/>
        <w:jc w:val="both"/>
        <w:rPr>
          <w:b/>
          <w:bCs/>
          <w:lang w:val="en-US"/>
        </w:rPr>
      </w:pPr>
      <w:r w:rsidRPr="00FB6BFF">
        <w:rPr>
          <w:b/>
          <w:bCs/>
          <w:lang w:val="en-US"/>
        </w:rPr>
        <w:t>Kindle books (</w:t>
      </w:r>
      <w:r w:rsidR="00DF45F7" w:rsidRPr="00FB6BFF">
        <w:rPr>
          <w:b/>
          <w:bCs/>
          <w:lang w:val="en-US"/>
        </w:rPr>
        <w:t>and</w:t>
      </w:r>
      <w:r w:rsidRPr="00FB6BFF">
        <w:rPr>
          <w:b/>
          <w:bCs/>
          <w:lang w:val="en-US"/>
        </w:rPr>
        <w:t xml:space="preserve"> other e-books)</w:t>
      </w:r>
    </w:p>
    <w:p w14:paraId="1BDA0F8F" w14:textId="73697E7A" w:rsidR="002116BD" w:rsidRPr="00FB6BFF" w:rsidRDefault="002116BD" w:rsidP="000D7FC3">
      <w:pPr>
        <w:pStyle w:val="Akapitzlist"/>
        <w:spacing w:before="120" w:after="120"/>
        <w:ind w:left="708"/>
        <w:jc w:val="both"/>
        <w:rPr>
          <w:bCs/>
          <w:lang w:val="en-US"/>
        </w:rPr>
      </w:pPr>
      <w:r w:rsidRPr="00FB6BFF">
        <w:rPr>
          <w:bCs/>
          <w:lang w:val="en-US"/>
        </w:rPr>
        <w:t xml:space="preserve">Gladwell, M. (2008). </w:t>
      </w:r>
      <w:r w:rsidRPr="00FB6BFF">
        <w:rPr>
          <w:bCs/>
          <w:i/>
          <w:lang w:val="en-US"/>
        </w:rPr>
        <w:t>Outliers: The story of success</w:t>
      </w:r>
      <w:r w:rsidRPr="00FB6BFF">
        <w:rPr>
          <w:bCs/>
          <w:lang w:val="en-US"/>
        </w:rPr>
        <w:t xml:space="preserve"> [Kindle DX version]. </w:t>
      </w:r>
      <w:r w:rsidR="000D7FC3" w:rsidRPr="00FB6BFF">
        <w:rPr>
          <w:bCs/>
          <w:lang w:val="en-US"/>
        </w:rPr>
        <w:t>Retrieved from</w:t>
      </w:r>
      <w:r w:rsidRPr="00FB6BFF">
        <w:rPr>
          <w:bCs/>
          <w:lang w:val="en-US"/>
        </w:rPr>
        <w:t xml:space="preserve"> </w:t>
      </w:r>
      <w:hyperlink r:id="rId17" w:history="1">
        <w:r w:rsidRPr="00FB6BFF">
          <w:rPr>
            <w:rStyle w:val="Hipercze"/>
            <w:bCs/>
            <w:lang w:val="en-US"/>
          </w:rPr>
          <w:t>www.amazon.com</w:t>
        </w:r>
      </w:hyperlink>
      <w:r w:rsidRPr="00FB6BFF">
        <w:rPr>
          <w:bCs/>
          <w:lang w:val="en-US"/>
        </w:rPr>
        <w:t>.</w:t>
      </w:r>
    </w:p>
    <w:p w14:paraId="6F2256C7" w14:textId="6710314B" w:rsidR="002116BD" w:rsidRPr="00FB6BFF" w:rsidRDefault="000D7FC3" w:rsidP="00C170FF">
      <w:pPr>
        <w:pStyle w:val="Akapitzlist"/>
        <w:numPr>
          <w:ilvl w:val="0"/>
          <w:numId w:val="22"/>
        </w:numPr>
        <w:spacing w:before="120" w:after="120"/>
        <w:jc w:val="both"/>
        <w:rPr>
          <w:bCs/>
          <w:sz w:val="18"/>
          <w:szCs w:val="20"/>
        </w:rPr>
      </w:pPr>
      <w:r w:rsidRPr="00FB6BFF">
        <w:rPr>
          <w:sz w:val="18"/>
          <w:lang w:val="en-US"/>
        </w:rPr>
        <w:t>in this case, the in-text reference should be: (Gladwell,</w:t>
      </w:r>
      <w:r w:rsidR="00C170FF" w:rsidRPr="00FB6BFF">
        <w:rPr>
          <w:sz w:val="18"/>
          <w:lang w:val="en-US"/>
        </w:rPr>
        <w:t xml:space="preserve"> 2008, Chapter 1, Section 2, para. </w:t>
      </w:r>
      <w:r w:rsidR="00C170FF" w:rsidRPr="00FB6BFF">
        <w:rPr>
          <w:sz w:val="18"/>
        </w:rPr>
        <w:t>5).</w:t>
      </w:r>
    </w:p>
    <w:p w14:paraId="136806E8" w14:textId="77777777" w:rsidR="002116BD" w:rsidRPr="00FB6BFF" w:rsidRDefault="002116BD" w:rsidP="002116BD">
      <w:pPr>
        <w:pStyle w:val="Akapitzlist"/>
        <w:spacing w:before="120" w:after="120" w:line="240" w:lineRule="auto"/>
        <w:ind w:left="0"/>
        <w:jc w:val="both"/>
        <w:rPr>
          <w:b/>
          <w:bCs/>
        </w:rPr>
      </w:pPr>
    </w:p>
    <w:p w14:paraId="3DDD0C87" w14:textId="77777777" w:rsidR="00DF45F7" w:rsidRPr="00FB6BFF" w:rsidRDefault="00DF45F7" w:rsidP="002116BD">
      <w:pPr>
        <w:pStyle w:val="Akapitzlist"/>
        <w:spacing w:before="120" w:after="120" w:line="240" w:lineRule="auto"/>
        <w:ind w:left="0"/>
        <w:jc w:val="both"/>
        <w:rPr>
          <w:b/>
          <w:bCs/>
        </w:rPr>
      </w:pPr>
    </w:p>
    <w:p w14:paraId="165C0DDF" w14:textId="77777777" w:rsidR="00DF45F7" w:rsidRPr="00FB6BFF" w:rsidRDefault="00DF45F7" w:rsidP="002116BD">
      <w:pPr>
        <w:pStyle w:val="Akapitzlist"/>
        <w:spacing w:before="120" w:after="120" w:line="240" w:lineRule="auto"/>
        <w:ind w:left="0"/>
        <w:jc w:val="both"/>
        <w:rPr>
          <w:b/>
          <w:bCs/>
        </w:rPr>
      </w:pPr>
    </w:p>
    <w:p w14:paraId="0E35D9EB" w14:textId="77777777" w:rsidR="00DF45F7" w:rsidRPr="00FB6BFF" w:rsidRDefault="00DF45F7" w:rsidP="002116BD">
      <w:pPr>
        <w:pStyle w:val="Akapitzlist"/>
        <w:spacing w:before="120" w:after="120" w:line="240" w:lineRule="auto"/>
        <w:ind w:left="0"/>
        <w:jc w:val="both"/>
        <w:rPr>
          <w:b/>
          <w:bCs/>
        </w:rPr>
      </w:pPr>
    </w:p>
    <w:p w14:paraId="66B9F16D" w14:textId="77777777" w:rsidR="00DF45F7" w:rsidRPr="00FB6BFF" w:rsidRDefault="00DF45F7" w:rsidP="002116BD">
      <w:pPr>
        <w:pStyle w:val="Akapitzlist"/>
        <w:spacing w:before="120" w:after="120" w:line="240" w:lineRule="auto"/>
        <w:ind w:left="0"/>
        <w:jc w:val="both"/>
        <w:rPr>
          <w:b/>
          <w:bCs/>
        </w:rPr>
      </w:pPr>
    </w:p>
    <w:p w14:paraId="18DDBA71" w14:textId="42F5B1FC" w:rsidR="002116BD" w:rsidRPr="00FB6BFF" w:rsidRDefault="00C170FF" w:rsidP="002116BD">
      <w:pPr>
        <w:pStyle w:val="Akapitzlist"/>
        <w:spacing w:before="120" w:after="120" w:line="240" w:lineRule="auto"/>
        <w:ind w:left="0"/>
        <w:jc w:val="both"/>
        <w:rPr>
          <w:b/>
          <w:bCs/>
        </w:rPr>
      </w:pPr>
      <w:r w:rsidRPr="00FB6BFF">
        <w:rPr>
          <w:b/>
          <w:bCs/>
        </w:rPr>
        <w:t>Chapters in books</w:t>
      </w:r>
    </w:p>
    <w:p w14:paraId="0D463175" w14:textId="3D601D5B" w:rsidR="002116BD" w:rsidRPr="00FB6BFF" w:rsidRDefault="002116BD" w:rsidP="002116BD">
      <w:pPr>
        <w:pStyle w:val="Akapitzlis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120" w:line="240" w:lineRule="auto"/>
        <w:ind w:left="0"/>
        <w:jc w:val="both"/>
        <w:rPr>
          <w:b/>
          <w:bCs/>
          <w:sz w:val="20"/>
        </w:rPr>
      </w:pPr>
      <w:r w:rsidRPr="00FB6BFF">
        <w:rPr>
          <w:b/>
          <w:bCs/>
          <w:sz w:val="20"/>
        </w:rPr>
        <w:t>P</w:t>
      </w:r>
      <w:r w:rsidR="00C170FF" w:rsidRPr="00FB6BFF">
        <w:rPr>
          <w:b/>
          <w:bCs/>
          <w:sz w:val="20"/>
        </w:rPr>
        <w:t>lease note that</w:t>
      </w:r>
    </w:p>
    <w:p w14:paraId="58E41604" w14:textId="3CBFA654" w:rsidR="002116BD" w:rsidRPr="00FB6BFF" w:rsidRDefault="00C170FF" w:rsidP="002116BD">
      <w:pPr>
        <w:pStyle w:val="Akapitzlist"/>
        <w:numPr>
          <w:ilvl w:val="0"/>
          <w:numId w:val="14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120" w:line="240" w:lineRule="auto"/>
        <w:jc w:val="both"/>
        <w:rPr>
          <w:bCs/>
          <w:sz w:val="20"/>
          <w:lang w:val="en-US"/>
        </w:rPr>
      </w:pPr>
      <w:r w:rsidRPr="00FB6BFF">
        <w:rPr>
          <w:bCs/>
          <w:sz w:val="20"/>
          <w:lang w:val="en-US"/>
        </w:rPr>
        <w:t>chapter titles and subtitles are not in italics</w:t>
      </w:r>
    </w:p>
    <w:p w14:paraId="412D805A" w14:textId="7571D508" w:rsidR="002116BD" w:rsidRPr="00FB6BFF" w:rsidRDefault="00C170FF" w:rsidP="002116BD">
      <w:pPr>
        <w:pStyle w:val="Akapitzlist"/>
        <w:numPr>
          <w:ilvl w:val="0"/>
          <w:numId w:val="14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120" w:line="240" w:lineRule="auto"/>
        <w:jc w:val="both"/>
        <w:rPr>
          <w:bCs/>
          <w:sz w:val="20"/>
          <w:lang w:val="en-US"/>
        </w:rPr>
      </w:pPr>
      <w:r w:rsidRPr="00FB6BFF">
        <w:rPr>
          <w:bCs/>
          <w:sz w:val="20"/>
          <w:lang w:val="en-US"/>
        </w:rPr>
        <w:t>book titles and subtitles are in italics</w:t>
      </w:r>
    </w:p>
    <w:p w14:paraId="09A1E1ED" w14:textId="1908038D" w:rsidR="002116BD" w:rsidRPr="00FB6BFF" w:rsidRDefault="00C170FF" w:rsidP="002116BD">
      <w:pPr>
        <w:pStyle w:val="Akapitzlist"/>
        <w:numPr>
          <w:ilvl w:val="0"/>
          <w:numId w:val="14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120" w:line="240" w:lineRule="auto"/>
        <w:jc w:val="both"/>
        <w:rPr>
          <w:bCs/>
          <w:sz w:val="20"/>
          <w:lang w:val="en-US"/>
        </w:rPr>
      </w:pPr>
      <w:r w:rsidRPr="00FB6BFF">
        <w:rPr>
          <w:bCs/>
          <w:sz w:val="20"/>
          <w:lang w:val="en-US"/>
        </w:rPr>
        <w:t>after the book title</w:t>
      </w:r>
      <w:r w:rsidR="002116BD" w:rsidRPr="00FB6BFF">
        <w:rPr>
          <w:bCs/>
          <w:sz w:val="20"/>
          <w:lang w:val="en-US"/>
        </w:rPr>
        <w:t xml:space="preserve"> (</w:t>
      </w:r>
      <w:r w:rsidRPr="00FB6BFF">
        <w:rPr>
          <w:bCs/>
          <w:sz w:val="20"/>
          <w:lang w:val="en-US"/>
        </w:rPr>
        <w:t>and not after the chapter’s title</w:t>
      </w:r>
      <w:r w:rsidR="002116BD" w:rsidRPr="00FB6BFF">
        <w:rPr>
          <w:bCs/>
          <w:sz w:val="20"/>
          <w:lang w:val="en-US"/>
        </w:rPr>
        <w:t xml:space="preserve">), </w:t>
      </w:r>
      <w:r w:rsidRPr="00FB6BFF">
        <w:rPr>
          <w:bCs/>
          <w:sz w:val="20"/>
          <w:lang w:val="en-US"/>
        </w:rPr>
        <w:t>add the chapter’s page numbers in parentheses; between the numbers there is an en dash, not a hyphen</w:t>
      </w:r>
    </w:p>
    <w:p w14:paraId="226503C9" w14:textId="36AF30C2" w:rsidR="002116BD" w:rsidRPr="00FB6BFF" w:rsidRDefault="00731BDB" w:rsidP="002116BD">
      <w:pPr>
        <w:pStyle w:val="Akapitzlist"/>
        <w:numPr>
          <w:ilvl w:val="0"/>
          <w:numId w:val="3"/>
        </w:numPr>
        <w:spacing w:before="120" w:after="120" w:line="240" w:lineRule="auto"/>
        <w:ind w:left="0"/>
        <w:jc w:val="both"/>
        <w:rPr>
          <w:b/>
        </w:rPr>
      </w:pPr>
      <w:r w:rsidRPr="00FB6BFF">
        <w:rPr>
          <w:b/>
        </w:rPr>
        <w:t>chapters in edited books</w:t>
      </w:r>
    </w:p>
    <w:p w14:paraId="184F02D3" w14:textId="5E19D9A0" w:rsidR="002116BD" w:rsidRPr="00A913C2" w:rsidRDefault="00C170FF" w:rsidP="002116BD">
      <w:pPr>
        <w:pStyle w:val="Akapitzlist"/>
        <w:spacing w:before="120" w:after="120" w:line="240" w:lineRule="auto"/>
        <w:jc w:val="both"/>
        <w:rPr>
          <w:lang w:val="en-US"/>
        </w:rPr>
      </w:pPr>
      <w:r w:rsidRPr="00FB6BFF">
        <w:rPr>
          <w:lang w:val="en-US"/>
        </w:rPr>
        <w:t>Il</w:t>
      </w:r>
      <w:r w:rsidR="00A913C2">
        <w:rPr>
          <w:lang w:val="en-US"/>
        </w:rPr>
        <w:t>luminati, V. (2016). ‘Speak to Me in Capital Letters!’</w:t>
      </w:r>
      <w:r w:rsidRPr="00FB6BFF">
        <w:rPr>
          <w:lang w:val="en-US"/>
        </w:rPr>
        <w:t xml:space="preserve">: Same-sex parenting, new families and homosexuality in Italian and translated picturebooks by Lo Stampatello. In A. M. Ramos, S. Mourão, </w:t>
      </w:r>
      <w:r w:rsidR="00DF45F7" w:rsidRPr="00FB6BFF">
        <w:rPr>
          <w:lang w:val="en-US"/>
        </w:rPr>
        <w:t xml:space="preserve">&amp; </w:t>
      </w:r>
      <w:r w:rsidRPr="00FB6BFF">
        <w:rPr>
          <w:lang w:val="en-US"/>
        </w:rPr>
        <w:t xml:space="preserve">M. T. Cortez (Eds.), </w:t>
      </w:r>
      <w:r w:rsidRPr="00FB6BFF">
        <w:rPr>
          <w:i/>
          <w:lang w:val="en-US"/>
        </w:rPr>
        <w:t>Fractures and disruptions in children’s literature</w:t>
      </w:r>
      <w:r w:rsidRPr="00FB6BFF">
        <w:rPr>
          <w:lang w:val="en-US"/>
        </w:rPr>
        <w:t xml:space="preserve"> (pp. 228–243). </w:t>
      </w:r>
      <w:r w:rsidRPr="00A913C2">
        <w:rPr>
          <w:lang w:val="en-US"/>
        </w:rPr>
        <w:t>Newcastle upon Tyne: Cambridge Scholars.</w:t>
      </w:r>
    </w:p>
    <w:p w14:paraId="3891E79E" w14:textId="797D0A67" w:rsidR="002116BD" w:rsidRPr="00FB6BFF" w:rsidRDefault="00731BDB" w:rsidP="002116BD">
      <w:pPr>
        <w:pStyle w:val="Akapitzlist"/>
        <w:numPr>
          <w:ilvl w:val="0"/>
          <w:numId w:val="3"/>
        </w:numPr>
        <w:spacing w:before="120" w:after="120" w:line="240" w:lineRule="auto"/>
        <w:ind w:left="0"/>
        <w:jc w:val="both"/>
        <w:rPr>
          <w:b/>
          <w:lang w:val="en-US"/>
        </w:rPr>
      </w:pPr>
      <w:r w:rsidRPr="00FB6BFF">
        <w:rPr>
          <w:b/>
          <w:lang w:val="en-US"/>
        </w:rPr>
        <w:t>chapters in one-author books</w:t>
      </w:r>
    </w:p>
    <w:p w14:paraId="506F6340" w14:textId="4D78FC7F" w:rsidR="002116BD" w:rsidRPr="00FB6BFF" w:rsidRDefault="00731BDB" w:rsidP="002116BD">
      <w:pPr>
        <w:pStyle w:val="Akapitzlist"/>
        <w:spacing w:before="120" w:after="120" w:line="240" w:lineRule="auto"/>
        <w:jc w:val="both"/>
        <w:rPr>
          <w:iCs/>
          <w:lang w:val="en-US"/>
        </w:rPr>
      </w:pPr>
      <w:r w:rsidRPr="00FB6BFF">
        <w:rPr>
          <w:iCs/>
          <w:lang w:val="en-US"/>
        </w:rPr>
        <w:t xml:space="preserve">Sedgwick, E. </w:t>
      </w:r>
      <w:r w:rsidR="00A913C2">
        <w:rPr>
          <w:iCs/>
          <w:lang w:val="en-US"/>
        </w:rPr>
        <w:t xml:space="preserve">K. </w:t>
      </w:r>
      <w:r w:rsidRPr="00FB6BFF">
        <w:rPr>
          <w:iCs/>
          <w:lang w:val="en-US"/>
        </w:rPr>
        <w:t xml:space="preserve">(1985). Toward the Gothic: Terrorism and homosexual panic. In </w:t>
      </w:r>
      <w:r w:rsidRPr="00FB6BFF">
        <w:rPr>
          <w:i/>
          <w:iCs/>
          <w:lang w:val="en-US"/>
        </w:rPr>
        <w:t>Between men: English literature and male homosexual desire</w:t>
      </w:r>
      <w:r w:rsidRPr="00FB6BFF">
        <w:rPr>
          <w:iCs/>
          <w:lang w:val="en-US"/>
        </w:rPr>
        <w:t xml:space="preserve"> (pp. 83–96). New York, NY: Columbia University Press.</w:t>
      </w:r>
    </w:p>
    <w:p w14:paraId="08BD665E" w14:textId="72DB96AA" w:rsidR="00731BDB" w:rsidRPr="00FB6BFF" w:rsidRDefault="00731BDB" w:rsidP="00731BDB">
      <w:pPr>
        <w:pStyle w:val="Akapitzlist"/>
        <w:numPr>
          <w:ilvl w:val="0"/>
          <w:numId w:val="22"/>
        </w:numPr>
        <w:spacing w:before="120" w:after="120"/>
        <w:jc w:val="both"/>
        <w:rPr>
          <w:bCs/>
          <w:sz w:val="18"/>
          <w:szCs w:val="20"/>
          <w:lang w:val="en-US"/>
        </w:rPr>
      </w:pPr>
      <w:r w:rsidRPr="00FB6BFF">
        <w:rPr>
          <w:sz w:val="18"/>
          <w:lang w:val="en-US"/>
        </w:rPr>
        <w:t>this also applies to one-author stories collections etc., but does not apply when the author and the editor of a collective volume is the same person.</w:t>
      </w:r>
    </w:p>
    <w:p w14:paraId="5C3F79B2" w14:textId="77777777" w:rsidR="002116BD" w:rsidRPr="00FB6BFF" w:rsidRDefault="002116BD" w:rsidP="00DF45F7">
      <w:pPr>
        <w:spacing w:before="120" w:after="120" w:line="240" w:lineRule="auto"/>
        <w:jc w:val="both"/>
        <w:rPr>
          <w:lang w:val="en-US"/>
        </w:rPr>
      </w:pPr>
    </w:p>
    <w:p w14:paraId="0A2C8DA4" w14:textId="2C098FCC" w:rsidR="002116BD" w:rsidRPr="00FB6BFF" w:rsidRDefault="00731BDB" w:rsidP="002116BD">
      <w:pPr>
        <w:pStyle w:val="Akapitzlist"/>
        <w:spacing w:before="120" w:after="120" w:line="240" w:lineRule="auto"/>
        <w:ind w:left="0"/>
        <w:jc w:val="both"/>
        <w:rPr>
          <w:b/>
          <w:bCs/>
          <w:lang w:val="en-US"/>
        </w:rPr>
      </w:pPr>
      <w:r w:rsidRPr="00FB6BFF">
        <w:rPr>
          <w:b/>
          <w:bCs/>
          <w:lang w:val="en-US"/>
        </w:rPr>
        <w:t>Journal articles</w:t>
      </w:r>
    </w:p>
    <w:p w14:paraId="6A42763C" w14:textId="561DEB6E" w:rsidR="002116BD" w:rsidRPr="00FB6BFF" w:rsidRDefault="00731BDB" w:rsidP="002116BD">
      <w:pPr>
        <w:pStyle w:val="Akapitzlis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120" w:line="240" w:lineRule="auto"/>
        <w:ind w:left="12"/>
        <w:jc w:val="both"/>
        <w:rPr>
          <w:b/>
          <w:bCs/>
          <w:sz w:val="20"/>
          <w:lang w:val="en-US"/>
        </w:rPr>
      </w:pPr>
      <w:r w:rsidRPr="00FB6BFF">
        <w:rPr>
          <w:b/>
          <w:bCs/>
          <w:sz w:val="20"/>
          <w:lang w:val="en-US"/>
        </w:rPr>
        <w:t>Please note that</w:t>
      </w:r>
      <w:r w:rsidR="002116BD" w:rsidRPr="00FB6BFF">
        <w:rPr>
          <w:b/>
          <w:bCs/>
          <w:sz w:val="20"/>
          <w:lang w:val="en-US"/>
        </w:rPr>
        <w:t>:</w:t>
      </w:r>
    </w:p>
    <w:p w14:paraId="12BEDBB4" w14:textId="4E9315B1" w:rsidR="002116BD" w:rsidRPr="00FB6BFF" w:rsidRDefault="00731BDB" w:rsidP="002116BD">
      <w:pPr>
        <w:pStyle w:val="Akapitzlist"/>
        <w:numPr>
          <w:ilvl w:val="0"/>
          <w:numId w:val="15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120" w:line="240" w:lineRule="auto"/>
        <w:jc w:val="both"/>
        <w:rPr>
          <w:bCs/>
          <w:sz w:val="20"/>
          <w:lang w:val="en-US"/>
        </w:rPr>
      </w:pPr>
      <w:r w:rsidRPr="00FB6BFF">
        <w:rPr>
          <w:bCs/>
          <w:sz w:val="20"/>
          <w:lang w:val="en-US"/>
        </w:rPr>
        <w:t>article titles are not in italics</w:t>
      </w:r>
    </w:p>
    <w:p w14:paraId="3EFF3E31" w14:textId="4E9DE169" w:rsidR="002116BD" w:rsidRPr="00FB6BFF" w:rsidRDefault="00731BDB" w:rsidP="002116BD">
      <w:pPr>
        <w:pStyle w:val="Akapitzlist"/>
        <w:numPr>
          <w:ilvl w:val="0"/>
          <w:numId w:val="15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120" w:line="240" w:lineRule="auto"/>
        <w:jc w:val="both"/>
        <w:rPr>
          <w:bCs/>
          <w:sz w:val="20"/>
        </w:rPr>
      </w:pPr>
      <w:r w:rsidRPr="00FB6BFF">
        <w:rPr>
          <w:bCs/>
          <w:sz w:val="20"/>
        </w:rPr>
        <w:t>journal titles are in italics</w:t>
      </w:r>
    </w:p>
    <w:p w14:paraId="6101A14F" w14:textId="208A9A99" w:rsidR="002116BD" w:rsidRPr="00FB6BFF" w:rsidRDefault="00731BDB" w:rsidP="002116BD">
      <w:pPr>
        <w:pStyle w:val="Akapitzlist"/>
        <w:numPr>
          <w:ilvl w:val="0"/>
          <w:numId w:val="15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120" w:line="240" w:lineRule="auto"/>
        <w:jc w:val="both"/>
        <w:rPr>
          <w:bCs/>
          <w:sz w:val="20"/>
          <w:lang w:val="en-US"/>
        </w:rPr>
      </w:pPr>
      <w:r w:rsidRPr="00FB6BFF">
        <w:rPr>
          <w:bCs/>
          <w:sz w:val="20"/>
          <w:lang w:val="en-US"/>
        </w:rPr>
        <w:t>after the journal’s title</w:t>
      </w:r>
      <w:r w:rsidR="002116BD" w:rsidRPr="00FB6BFF">
        <w:rPr>
          <w:bCs/>
          <w:sz w:val="20"/>
          <w:lang w:val="en-US"/>
        </w:rPr>
        <w:t xml:space="preserve"> (</w:t>
      </w:r>
      <w:r w:rsidRPr="00FB6BFF">
        <w:rPr>
          <w:bCs/>
          <w:sz w:val="20"/>
          <w:lang w:val="en-US"/>
        </w:rPr>
        <w:t>and after a comma</w:t>
      </w:r>
      <w:r w:rsidR="002116BD" w:rsidRPr="00FB6BFF">
        <w:rPr>
          <w:bCs/>
          <w:sz w:val="20"/>
          <w:lang w:val="en-US"/>
        </w:rPr>
        <w:t xml:space="preserve">) </w:t>
      </w:r>
      <w:r w:rsidRPr="00FB6BFF">
        <w:rPr>
          <w:bCs/>
          <w:sz w:val="20"/>
          <w:lang w:val="en-US"/>
        </w:rPr>
        <w:t xml:space="preserve">there is a volume number in italics and, after that </w:t>
      </w:r>
      <w:r w:rsidR="002116BD" w:rsidRPr="00FB6BFF">
        <w:rPr>
          <w:bCs/>
          <w:sz w:val="20"/>
          <w:lang w:val="en-US"/>
        </w:rPr>
        <w:t>(</w:t>
      </w:r>
      <w:r w:rsidRPr="00FB6BFF">
        <w:rPr>
          <w:bCs/>
          <w:sz w:val="20"/>
          <w:lang w:val="en-US"/>
        </w:rPr>
        <w:t>in parentheses</w:t>
      </w:r>
      <w:r w:rsidR="002116BD" w:rsidRPr="00FB6BFF">
        <w:rPr>
          <w:bCs/>
          <w:sz w:val="20"/>
          <w:lang w:val="en-US"/>
        </w:rPr>
        <w:t xml:space="preserve">, </w:t>
      </w:r>
      <w:r w:rsidRPr="00FB6BFF">
        <w:rPr>
          <w:bCs/>
          <w:sz w:val="20"/>
          <w:lang w:val="en-US"/>
        </w:rPr>
        <w:t>without spaces</w:t>
      </w:r>
      <w:r w:rsidR="002116BD" w:rsidRPr="00FB6BFF">
        <w:rPr>
          <w:bCs/>
          <w:sz w:val="20"/>
          <w:lang w:val="en-US"/>
        </w:rPr>
        <w:t>)</w:t>
      </w:r>
      <w:r w:rsidR="00DF45F7" w:rsidRPr="00FB6BFF">
        <w:rPr>
          <w:bCs/>
          <w:sz w:val="20"/>
          <w:lang w:val="en-US"/>
        </w:rPr>
        <w:t>,</w:t>
      </w:r>
      <w:r w:rsidR="002116BD" w:rsidRPr="00FB6BFF">
        <w:rPr>
          <w:bCs/>
          <w:sz w:val="20"/>
          <w:lang w:val="en-US"/>
        </w:rPr>
        <w:t xml:space="preserve"> </w:t>
      </w:r>
      <w:r w:rsidRPr="00FB6BFF">
        <w:rPr>
          <w:bCs/>
          <w:sz w:val="20"/>
          <w:lang w:val="en-US"/>
        </w:rPr>
        <w:t>an issue number</w:t>
      </w:r>
      <w:r w:rsidR="002116BD" w:rsidRPr="00FB6BFF">
        <w:rPr>
          <w:bCs/>
          <w:sz w:val="20"/>
          <w:lang w:val="en-US"/>
        </w:rPr>
        <w:t>,</w:t>
      </w:r>
      <w:r w:rsidRPr="00FB6BFF">
        <w:rPr>
          <w:bCs/>
          <w:sz w:val="20"/>
          <w:lang w:val="en-US"/>
        </w:rPr>
        <w:t xml:space="preserve"> not in italics, and then</w:t>
      </w:r>
      <w:r w:rsidR="002116BD" w:rsidRPr="00FB6BFF">
        <w:rPr>
          <w:bCs/>
          <w:sz w:val="20"/>
          <w:lang w:val="en-US"/>
        </w:rPr>
        <w:t xml:space="preserve"> (</w:t>
      </w:r>
      <w:r w:rsidRPr="00FB6BFF">
        <w:rPr>
          <w:bCs/>
          <w:sz w:val="20"/>
          <w:lang w:val="en-US"/>
        </w:rPr>
        <w:t>after a comma</w:t>
      </w:r>
      <w:r w:rsidR="002116BD" w:rsidRPr="00FB6BFF">
        <w:rPr>
          <w:bCs/>
          <w:sz w:val="20"/>
          <w:lang w:val="en-US"/>
        </w:rPr>
        <w:t xml:space="preserve">) </w:t>
      </w:r>
      <w:r w:rsidRPr="00FB6BFF">
        <w:rPr>
          <w:bCs/>
          <w:sz w:val="20"/>
          <w:lang w:val="en-US"/>
        </w:rPr>
        <w:t xml:space="preserve">the </w:t>
      </w:r>
      <w:r w:rsidR="00BC3766" w:rsidRPr="00FB6BFF">
        <w:rPr>
          <w:bCs/>
          <w:sz w:val="20"/>
          <w:lang w:val="en-US"/>
        </w:rPr>
        <w:t xml:space="preserve">article’s </w:t>
      </w:r>
      <w:r w:rsidRPr="00FB6BFF">
        <w:rPr>
          <w:bCs/>
          <w:sz w:val="20"/>
          <w:lang w:val="en-US"/>
        </w:rPr>
        <w:t>pages numbers, not in italics</w:t>
      </w:r>
    </w:p>
    <w:p w14:paraId="2D8B6CCE" w14:textId="3D279B89" w:rsidR="00BC3766" w:rsidRPr="00FB6BFF" w:rsidRDefault="00BC3766" w:rsidP="00BC3766">
      <w:pPr>
        <w:pStyle w:val="Akapitzlist"/>
        <w:numPr>
          <w:ilvl w:val="0"/>
          <w:numId w:val="15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120" w:line="240" w:lineRule="auto"/>
        <w:jc w:val="both"/>
        <w:rPr>
          <w:bCs/>
          <w:sz w:val="20"/>
          <w:lang w:val="en-US"/>
        </w:rPr>
      </w:pPr>
      <w:r w:rsidRPr="00FB6BFF">
        <w:rPr>
          <w:bCs/>
          <w:sz w:val="20"/>
          <w:lang w:val="en-US"/>
        </w:rPr>
        <w:t>between the numbers there is an en dash, not a hyphen</w:t>
      </w:r>
    </w:p>
    <w:p w14:paraId="524615ED" w14:textId="4F8642A9" w:rsidR="00BC3766" w:rsidRPr="00FB6BFF" w:rsidRDefault="00BC3766" w:rsidP="00BC3766">
      <w:pPr>
        <w:pStyle w:val="Akapitzlist"/>
        <w:numPr>
          <w:ilvl w:val="0"/>
          <w:numId w:val="15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120" w:line="240" w:lineRule="auto"/>
        <w:jc w:val="both"/>
        <w:rPr>
          <w:b/>
          <w:sz w:val="20"/>
          <w:szCs w:val="20"/>
          <w:lang w:val="en-US"/>
        </w:rPr>
      </w:pPr>
      <w:r w:rsidRPr="00FB6BFF">
        <w:rPr>
          <w:sz w:val="20"/>
          <w:szCs w:val="20"/>
          <w:lang w:val="en-US"/>
        </w:rPr>
        <w:t xml:space="preserve">if </w:t>
      </w:r>
      <w:r w:rsidR="00DF45F7" w:rsidRPr="00FB6BFF">
        <w:rPr>
          <w:sz w:val="20"/>
          <w:szCs w:val="20"/>
          <w:lang w:val="en-US"/>
        </w:rPr>
        <w:t xml:space="preserve">an article </w:t>
      </w:r>
      <w:r w:rsidRPr="00FB6BFF">
        <w:rPr>
          <w:sz w:val="20"/>
          <w:szCs w:val="20"/>
          <w:lang w:val="en-US"/>
        </w:rPr>
        <w:t xml:space="preserve">has a DOI, it should be added after the </w:t>
      </w:r>
      <w:r w:rsidR="00DF45F7" w:rsidRPr="00FB6BFF">
        <w:rPr>
          <w:sz w:val="20"/>
          <w:szCs w:val="20"/>
          <w:lang w:val="en-US"/>
        </w:rPr>
        <w:t>paper’s</w:t>
      </w:r>
      <w:r w:rsidRPr="00FB6BFF">
        <w:rPr>
          <w:sz w:val="20"/>
          <w:szCs w:val="20"/>
          <w:lang w:val="en-US"/>
        </w:rPr>
        <w:t xml:space="preserve"> pages numbers (and after a period).</w:t>
      </w:r>
    </w:p>
    <w:p w14:paraId="5C3F893B" w14:textId="7BEFF263" w:rsidR="002116BD" w:rsidRPr="00FB6BFF" w:rsidRDefault="002116BD" w:rsidP="00BC3766">
      <w:pPr>
        <w:pStyle w:val="Akapitzlist"/>
        <w:numPr>
          <w:ilvl w:val="0"/>
          <w:numId w:val="3"/>
        </w:numPr>
        <w:spacing w:before="120" w:after="120" w:line="240" w:lineRule="auto"/>
        <w:ind w:left="709" w:hanging="709"/>
        <w:jc w:val="both"/>
      </w:pPr>
      <w:r w:rsidRPr="00FB6BFF">
        <w:rPr>
          <w:lang w:val="en-US"/>
        </w:rPr>
        <w:t xml:space="preserve">Bullen, E., Sewers, N. (2017). The fairy tale police department: Hybridity, the transnational television fairy tale, and cultural forms. </w:t>
      </w:r>
      <w:r w:rsidRPr="00FB6BFF">
        <w:rPr>
          <w:i/>
        </w:rPr>
        <w:t>Marvels &amp; Tales</w:t>
      </w:r>
      <w:r w:rsidRPr="00FB6BFF">
        <w:t xml:space="preserve">, </w:t>
      </w:r>
      <w:r w:rsidRPr="00FB6BFF">
        <w:rPr>
          <w:i/>
        </w:rPr>
        <w:t>31</w:t>
      </w:r>
      <w:r w:rsidRPr="00FB6BFF">
        <w:t xml:space="preserve">(1), 24–43. </w:t>
      </w:r>
      <w:hyperlink r:id="rId18" w:history="1">
        <w:r w:rsidR="00BC3766" w:rsidRPr="00FB6BFF">
          <w:rPr>
            <w:rStyle w:val="Hipercze"/>
          </w:rPr>
          <w:t>https://doi.org/10.13110/marvelstales.31.1.0024</w:t>
        </w:r>
      </w:hyperlink>
      <w:r w:rsidRPr="00FB6BFF">
        <w:t>.</w:t>
      </w:r>
    </w:p>
    <w:p w14:paraId="6B5B3229" w14:textId="0E3837A0" w:rsidR="002116BD" w:rsidRPr="00FB6BFF" w:rsidRDefault="00BC3766" w:rsidP="002116BD">
      <w:pPr>
        <w:pStyle w:val="Akapitzlist"/>
        <w:spacing w:before="240" w:after="240" w:line="240" w:lineRule="auto"/>
        <w:ind w:left="0"/>
        <w:jc w:val="both"/>
        <w:rPr>
          <w:b/>
          <w:bCs/>
        </w:rPr>
      </w:pPr>
      <w:r w:rsidRPr="00FB6BFF">
        <w:rPr>
          <w:b/>
          <w:bCs/>
        </w:rPr>
        <w:t>Films</w:t>
      </w:r>
      <w:r w:rsidR="002116BD" w:rsidRPr="00FB6BFF">
        <w:rPr>
          <w:b/>
          <w:bCs/>
        </w:rPr>
        <w:t xml:space="preserve"> </w:t>
      </w:r>
      <w:r w:rsidRPr="00FB6BFF">
        <w:rPr>
          <w:b/>
          <w:bCs/>
        </w:rPr>
        <w:t>and TV series</w:t>
      </w:r>
    </w:p>
    <w:p w14:paraId="24A0316D" w14:textId="687E8FDD" w:rsidR="002116BD" w:rsidRPr="00FB6BFF" w:rsidRDefault="00BC3766" w:rsidP="002116BD">
      <w:pPr>
        <w:pStyle w:val="Akapitzlis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120" w:line="240" w:lineRule="auto"/>
        <w:ind w:left="12"/>
        <w:jc w:val="both"/>
        <w:rPr>
          <w:b/>
          <w:bCs/>
          <w:sz w:val="20"/>
          <w:lang w:val="en-US"/>
        </w:rPr>
      </w:pPr>
      <w:r w:rsidRPr="00FB6BFF">
        <w:rPr>
          <w:b/>
          <w:bCs/>
          <w:sz w:val="20"/>
          <w:lang w:val="en-US"/>
        </w:rPr>
        <w:t>Please note that</w:t>
      </w:r>
      <w:r w:rsidR="002116BD" w:rsidRPr="00FB6BFF">
        <w:rPr>
          <w:b/>
          <w:bCs/>
          <w:sz w:val="20"/>
          <w:lang w:val="en-US"/>
        </w:rPr>
        <w:t>:</w:t>
      </w:r>
    </w:p>
    <w:p w14:paraId="3094F70B" w14:textId="4DBC43E0" w:rsidR="002116BD" w:rsidRPr="00FB6BFF" w:rsidRDefault="00BC3766" w:rsidP="002116BD">
      <w:pPr>
        <w:pStyle w:val="Akapitzlist"/>
        <w:numPr>
          <w:ilvl w:val="0"/>
          <w:numId w:val="16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120" w:line="240" w:lineRule="auto"/>
        <w:jc w:val="both"/>
        <w:rPr>
          <w:bCs/>
          <w:sz w:val="20"/>
          <w:lang w:val="en-US"/>
        </w:rPr>
      </w:pPr>
      <w:r w:rsidRPr="00FB6BFF">
        <w:rPr>
          <w:bCs/>
          <w:sz w:val="20"/>
          <w:lang w:val="en-US"/>
        </w:rPr>
        <w:t xml:space="preserve">film and </w:t>
      </w:r>
      <w:r w:rsidR="00DF45F7" w:rsidRPr="00FB6BFF">
        <w:rPr>
          <w:bCs/>
          <w:sz w:val="20"/>
          <w:lang w:val="en-US"/>
        </w:rPr>
        <w:t>television</w:t>
      </w:r>
      <w:r w:rsidRPr="00FB6BFF">
        <w:rPr>
          <w:bCs/>
          <w:sz w:val="20"/>
          <w:lang w:val="en-US"/>
        </w:rPr>
        <w:t xml:space="preserve"> series titles are in italics</w:t>
      </w:r>
    </w:p>
    <w:p w14:paraId="5DD62FAB" w14:textId="20102F37" w:rsidR="002116BD" w:rsidRPr="00FB6BFF" w:rsidRDefault="00D07849" w:rsidP="002116BD">
      <w:pPr>
        <w:pStyle w:val="Akapitzlist"/>
        <w:numPr>
          <w:ilvl w:val="0"/>
          <w:numId w:val="16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120" w:line="240" w:lineRule="auto"/>
        <w:jc w:val="both"/>
        <w:rPr>
          <w:bCs/>
          <w:sz w:val="20"/>
          <w:lang w:val="en-US"/>
        </w:rPr>
      </w:pPr>
      <w:r w:rsidRPr="00FB6BFF">
        <w:rPr>
          <w:bCs/>
          <w:sz w:val="20"/>
          <w:lang w:val="en-US"/>
        </w:rPr>
        <w:t>episode titles are not in italics</w:t>
      </w:r>
    </w:p>
    <w:p w14:paraId="7CEFA8AE" w14:textId="02BD84F0" w:rsidR="002116BD" w:rsidRPr="00FB6BFF" w:rsidRDefault="00D07849" w:rsidP="002116BD">
      <w:pPr>
        <w:pStyle w:val="Akapitzlist"/>
        <w:numPr>
          <w:ilvl w:val="0"/>
          <w:numId w:val="16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120" w:line="240" w:lineRule="auto"/>
        <w:jc w:val="both"/>
        <w:rPr>
          <w:bCs/>
          <w:sz w:val="20"/>
          <w:lang w:val="en-US"/>
        </w:rPr>
      </w:pPr>
      <w:r w:rsidRPr="00FB6BFF">
        <w:rPr>
          <w:bCs/>
          <w:sz w:val="20"/>
          <w:lang w:val="en-US"/>
        </w:rPr>
        <w:t>after the country/city</w:t>
      </w:r>
      <w:r w:rsidR="002116BD" w:rsidRPr="00FB6BFF">
        <w:rPr>
          <w:bCs/>
          <w:sz w:val="20"/>
          <w:lang w:val="en-US"/>
        </w:rPr>
        <w:t xml:space="preserve"> (</w:t>
      </w:r>
      <w:r w:rsidRPr="00FB6BFF">
        <w:rPr>
          <w:bCs/>
          <w:sz w:val="20"/>
          <w:lang w:val="en-US"/>
        </w:rPr>
        <w:t>and after a colon</w:t>
      </w:r>
      <w:r w:rsidR="002116BD" w:rsidRPr="00FB6BFF">
        <w:rPr>
          <w:bCs/>
          <w:sz w:val="20"/>
          <w:lang w:val="en-US"/>
        </w:rPr>
        <w:t>)</w:t>
      </w:r>
      <w:r w:rsidRPr="00FB6BFF">
        <w:rPr>
          <w:bCs/>
          <w:sz w:val="20"/>
          <w:lang w:val="en-US"/>
        </w:rPr>
        <w:t>,</w:t>
      </w:r>
      <w:r w:rsidR="002116BD" w:rsidRPr="00FB6BFF">
        <w:rPr>
          <w:bCs/>
          <w:sz w:val="20"/>
          <w:lang w:val="en-US"/>
        </w:rPr>
        <w:t xml:space="preserve"> </w:t>
      </w:r>
      <w:r w:rsidRPr="00FB6BFF">
        <w:rPr>
          <w:bCs/>
          <w:sz w:val="20"/>
          <w:lang w:val="en-US"/>
        </w:rPr>
        <w:t>the</w:t>
      </w:r>
      <w:r w:rsidR="00A913C2">
        <w:rPr>
          <w:bCs/>
          <w:sz w:val="20"/>
          <w:lang w:val="en-US"/>
        </w:rPr>
        <w:t>re is a name of the distributor</w:t>
      </w:r>
    </w:p>
    <w:p w14:paraId="11271B31" w14:textId="5F1A23D1" w:rsidR="002116BD" w:rsidRPr="00FB6BFF" w:rsidRDefault="00D07849" w:rsidP="002116BD">
      <w:pPr>
        <w:pStyle w:val="Akapitzlist"/>
        <w:numPr>
          <w:ilvl w:val="0"/>
          <w:numId w:val="16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120" w:line="240" w:lineRule="auto"/>
        <w:jc w:val="both"/>
        <w:rPr>
          <w:bCs/>
          <w:sz w:val="20"/>
          <w:lang w:val="en-US"/>
        </w:rPr>
      </w:pPr>
      <w:r w:rsidRPr="00FB6BFF">
        <w:rPr>
          <w:bCs/>
          <w:sz w:val="20"/>
          <w:lang w:val="en-US"/>
        </w:rPr>
        <w:t>for non-English language films/t</w:t>
      </w:r>
      <w:r w:rsidR="00DF45F7" w:rsidRPr="00FB6BFF">
        <w:rPr>
          <w:bCs/>
          <w:sz w:val="20"/>
          <w:lang w:val="en-US"/>
        </w:rPr>
        <w:t>elevision</w:t>
      </w:r>
      <w:r w:rsidRPr="00FB6BFF">
        <w:rPr>
          <w:bCs/>
          <w:sz w:val="20"/>
          <w:lang w:val="en-US"/>
        </w:rPr>
        <w:t xml:space="preserve"> series, </w:t>
      </w:r>
      <w:r w:rsidR="00DF45F7" w:rsidRPr="00FB6BFF">
        <w:rPr>
          <w:bCs/>
          <w:sz w:val="20"/>
          <w:lang w:val="en-US"/>
        </w:rPr>
        <w:t>an</w:t>
      </w:r>
      <w:r w:rsidRPr="00FB6BFF">
        <w:rPr>
          <w:bCs/>
          <w:sz w:val="20"/>
          <w:lang w:val="en-US"/>
        </w:rPr>
        <w:t xml:space="preserve"> official translation of the title (if it exists) should be added in brackets after the original title</w:t>
      </w:r>
    </w:p>
    <w:p w14:paraId="244AE392" w14:textId="0688D21A" w:rsidR="002116BD" w:rsidRPr="00FB6BFF" w:rsidRDefault="00DF45F7" w:rsidP="002116BD">
      <w:pPr>
        <w:pStyle w:val="Akapitzlist"/>
        <w:numPr>
          <w:ilvl w:val="0"/>
          <w:numId w:val="16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120" w:line="240" w:lineRule="auto"/>
        <w:jc w:val="both"/>
        <w:rPr>
          <w:bCs/>
          <w:sz w:val="20"/>
          <w:lang w:val="en-US"/>
        </w:rPr>
      </w:pPr>
      <w:r w:rsidRPr="00FB6BFF">
        <w:rPr>
          <w:b/>
          <w:bCs/>
          <w:sz w:val="20"/>
          <w:lang w:val="en-US"/>
        </w:rPr>
        <w:t>a</w:t>
      </w:r>
      <w:r w:rsidR="00D07849" w:rsidRPr="00FB6BFF">
        <w:rPr>
          <w:b/>
          <w:bCs/>
          <w:sz w:val="20"/>
          <w:lang w:val="en-US"/>
        </w:rPr>
        <w:t>ll</w:t>
      </w:r>
      <w:r w:rsidR="00D07849" w:rsidRPr="00FB6BFF">
        <w:rPr>
          <w:bCs/>
          <w:sz w:val="20"/>
          <w:lang w:val="en-US"/>
        </w:rPr>
        <w:t xml:space="preserve"> countries/cities/distributors should be indicated</w:t>
      </w:r>
      <w:r w:rsidRPr="00FB6BFF">
        <w:rPr>
          <w:bCs/>
          <w:sz w:val="20"/>
          <w:lang w:val="en-US"/>
        </w:rPr>
        <w:t xml:space="preserve"> whenever it is possible</w:t>
      </w:r>
    </w:p>
    <w:p w14:paraId="6809176D" w14:textId="4D75C3E1" w:rsidR="002116BD" w:rsidRPr="00FB6BFF" w:rsidRDefault="00DF45F7" w:rsidP="002116BD">
      <w:pPr>
        <w:pStyle w:val="Akapitzlist"/>
        <w:numPr>
          <w:ilvl w:val="0"/>
          <w:numId w:val="16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120" w:line="240" w:lineRule="auto"/>
        <w:jc w:val="both"/>
        <w:rPr>
          <w:bCs/>
          <w:sz w:val="20"/>
          <w:lang w:val="en-US"/>
        </w:rPr>
      </w:pPr>
      <w:r w:rsidRPr="00FB6BFF">
        <w:rPr>
          <w:bCs/>
          <w:sz w:val="20"/>
          <w:lang w:val="en-US"/>
        </w:rPr>
        <w:lastRenderedPageBreak/>
        <w:t>f</w:t>
      </w:r>
      <w:r w:rsidR="00D07849" w:rsidRPr="00FB6BFF">
        <w:rPr>
          <w:bCs/>
          <w:sz w:val="20"/>
          <w:lang w:val="en-US"/>
        </w:rPr>
        <w:t>or TV series</w:t>
      </w:r>
      <w:r w:rsidR="002116BD" w:rsidRPr="00FB6BFF">
        <w:rPr>
          <w:bCs/>
          <w:sz w:val="20"/>
          <w:lang w:val="en-US"/>
        </w:rPr>
        <w:t xml:space="preserve">, </w:t>
      </w:r>
      <w:r w:rsidR="00D07849" w:rsidRPr="00FB6BFF">
        <w:rPr>
          <w:bCs/>
          <w:sz w:val="20"/>
          <w:lang w:val="en-US"/>
        </w:rPr>
        <w:t>please list only the showrunners as producers. Their names can be found on Wikipedia (</w:t>
      </w:r>
      <w:r w:rsidR="00C00F9D" w:rsidRPr="00FB6BFF">
        <w:rPr>
          <w:bCs/>
          <w:sz w:val="20"/>
          <w:lang w:val="en-US"/>
        </w:rPr>
        <w:t>“</w:t>
      </w:r>
      <w:r w:rsidR="00D07849" w:rsidRPr="00FB6BFF">
        <w:rPr>
          <w:bCs/>
          <w:sz w:val="20"/>
          <w:lang w:val="en-US"/>
        </w:rPr>
        <w:t>Creators</w:t>
      </w:r>
      <w:r w:rsidR="00C00F9D" w:rsidRPr="00FB6BFF">
        <w:rPr>
          <w:bCs/>
          <w:sz w:val="20"/>
          <w:lang w:val="en-US"/>
        </w:rPr>
        <w:t>,</w:t>
      </w:r>
      <w:r w:rsidR="00D07849" w:rsidRPr="00FB6BFF">
        <w:rPr>
          <w:bCs/>
          <w:sz w:val="20"/>
          <w:lang w:val="en-US"/>
        </w:rPr>
        <w:t xml:space="preserve">” </w:t>
      </w:r>
      <w:r w:rsidR="00C00F9D" w:rsidRPr="00FB6BFF">
        <w:rPr>
          <w:bCs/>
          <w:sz w:val="20"/>
          <w:lang w:val="en-US"/>
        </w:rPr>
        <w:t>“</w:t>
      </w:r>
      <w:r w:rsidR="00D07849" w:rsidRPr="00FB6BFF">
        <w:rPr>
          <w:bCs/>
          <w:sz w:val="20"/>
          <w:lang w:val="en-US"/>
        </w:rPr>
        <w:t xml:space="preserve">Created by,” etc.) or on </w:t>
      </w:r>
      <w:hyperlink r:id="rId19" w:history="1">
        <w:r w:rsidR="00A913C2" w:rsidRPr="00CC199D">
          <w:rPr>
            <w:rStyle w:val="Hipercze"/>
            <w:bCs/>
            <w:sz w:val="20"/>
            <w:lang w:val="en-US"/>
          </w:rPr>
          <w:t>www.imdb.com</w:t>
        </w:r>
      </w:hyperlink>
      <w:r w:rsidR="00A913C2">
        <w:rPr>
          <w:bCs/>
          <w:sz w:val="20"/>
          <w:lang w:val="en-US"/>
        </w:rPr>
        <w:t xml:space="preserve"> </w:t>
      </w:r>
      <w:r w:rsidR="00D07849" w:rsidRPr="00FB6BFF">
        <w:rPr>
          <w:bCs/>
          <w:sz w:val="20"/>
          <w:lang w:val="en-US"/>
        </w:rPr>
        <w:t>(</w:t>
      </w:r>
      <w:r w:rsidR="00C00F9D" w:rsidRPr="00FB6BFF">
        <w:rPr>
          <w:bCs/>
          <w:sz w:val="20"/>
          <w:lang w:val="en-US"/>
        </w:rPr>
        <w:t>“see the full cast”</w:t>
      </w:r>
      <w:r w:rsidR="00D07849" w:rsidRPr="00FB6BFF">
        <w:rPr>
          <w:bCs/>
          <w:sz w:val="20"/>
          <w:lang w:val="en-US"/>
        </w:rPr>
        <w:t>)</w:t>
      </w:r>
      <w:r w:rsidRPr="00FB6BFF">
        <w:rPr>
          <w:bCs/>
          <w:sz w:val="20"/>
          <w:lang w:val="en-US"/>
        </w:rPr>
        <w:t>.</w:t>
      </w:r>
    </w:p>
    <w:p w14:paraId="3FD4A410" w14:textId="39B4241B" w:rsidR="002116BD" w:rsidRPr="00FB6BFF" w:rsidRDefault="00C00F9D" w:rsidP="002116BD">
      <w:pPr>
        <w:pStyle w:val="Akapitzlist"/>
        <w:numPr>
          <w:ilvl w:val="0"/>
          <w:numId w:val="3"/>
        </w:numPr>
        <w:spacing w:before="120" w:after="120" w:line="240" w:lineRule="auto"/>
        <w:ind w:left="12"/>
        <w:jc w:val="both"/>
        <w:rPr>
          <w:b/>
          <w:bCs/>
          <w:lang w:val="en-US"/>
        </w:rPr>
      </w:pPr>
      <w:r w:rsidRPr="00FB6BFF">
        <w:rPr>
          <w:b/>
          <w:bCs/>
          <w:lang w:val="en-US"/>
        </w:rPr>
        <w:t xml:space="preserve">English-language </w:t>
      </w:r>
      <w:r w:rsidR="002116BD" w:rsidRPr="00FB6BFF">
        <w:rPr>
          <w:b/>
          <w:bCs/>
          <w:lang w:val="en-US"/>
        </w:rPr>
        <w:t>film</w:t>
      </w:r>
      <w:r w:rsidR="00DF45F7" w:rsidRPr="00FB6BFF">
        <w:rPr>
          <w:b/>
          <w:bCs/>
          <w:lang w:val="en-US"/>
        </w:rPr>
        <w:t>s</w:t>
      </w:r>
    </w:p>
    <w:p w14:paraId="5BA6D021" w14:textId="6A9F38EE" w:rsidR="002116BD" w:rsidRPr="00FB6BFF" w:rsidRDefault="002116BD" w:rsidP="002116BD">
      <w:pPr>
        <w:pStyle w:val="Standard"/>
        <w:spacing w:before="120" w:after="120" w:line="240" w:lineRule="auto"/>
        <w:ind w:left="708"/>
        <w:jc w:val="both"/>
        <w:rPr>
          <w:bCs/>
          <w:lang w:val="en-US"/>
        </w:rPr>
      </w:pPr>
      <w:r w:rsidRPr="00FB6BFF">
        <w:rPr>
          <w:bCs/>
          <w:lang w:val="en-US"/>
        </w:rPr>
        <w:t>Arnold, B. (</w:t>
      </w:r>
      <w:r w:rsidR="00C00F9D" w:rsidRPr="00FB6BFF">
        <w:rPr>
          <w:bCs/>
          <w:lang w:val="en-US"/>
        </w:rPr>
        <w:t>P</w:t>
      </w:r>
      <w:r w:rsidRPr="00FB6BFF">
        <w:rPr>
          <w:bCs/>
          <w:lang w:val="en-US"/>
        </w:rPr>
        <w:t>rod</w:t>
      </w:r>
      <w:r w:rsidR="00C00F9D" w:rsidRPr="00FB6BFF">
        <w:rPr>
          <w:bCs/>
          <w:lang w:val="en-US"/>
        </w:rPr>
        <w:t>ucer</w:t>
      </w:r>
      <w:r w:rsidRPr="00FB6BFF">
        <w:rPr>
          <w:bCs/>
          <w:lang w:val="en-US"/>
        </w:rPr>
        <w:t xml:space="preserve">), Sanders, C., </w:t>
      </w:r>
      <w:r w:rsidR="00C00F9D" w:rsidRPr="00FB6BFF">
        <w:rPr>
          <w:bCs/>
          <w:lang w:val="en-US"/>
        </w:rPr>
        <w:t xml:space="preserve">&amp; </w:t>
      </w:r>
      <w:r w:rsidRPr="00FB6BFF">
        <w:rPr>
          <w:bCs/>
          <w:lang w:val="en-US"/>
        </w:rPr>
        <w:t>DeBlois, D. (</w:t>
      </w:r>
      <w:r w:rsidR="00C00F9D" w:rsidRPr="00FB6BFF">
        <w:rPr>
          <w:bCs/>
          <w:lang w:val="en-US"/>
        </w:rPr>
        <w:t>Directors</w:t>
      </w:r>
      <w:r w:rsidRPr="00FB6BFF">
        <w:rPr>
          <w:bCs/>
          <w:lang w:val="en-US"/>
        </w:rPr>
        <w:t xml:space="preserve">). (2010). </w:t>
      </w:r>
      <w:r w:rsidRPr="00FB6BFF">
        <w:rPr>
          <w:bCs/>
          <w:i/>
          <w:lang w:val="en-US"/>
        </w:rPr>
        <w:t>How to train your dragon</w:t>
      </w:r>
      <w:r w:rsidR="00C00F9D" w:rsidRPr="00FB6BFF">
        <w:rPr>
          <w:bCs/>
          <w:i/>
          <w:lang w:val="en-US"/>
        </w:rPr>
        <w:t xml:space="preserve"> </w:t>
      </w:r>
      <w:r w:rsidR="00C00F9D" w:rsidRPr="00FB6BFF">
        <w:rPr>
          <w:bCs/>
          <w:lang w:val="en-US"/>
        </w:rPr>
        <w:t>[Motion picture]</w:t>
      </w:r>
      <w:r w:rsidRPr="00FB6BFF">
        <w:rPr>
          <w:bCs/>
          <w:lang w:val="en-US"/>
        </w:rPr>
        <w:t>. U</w:t>
      </w:r>
      <w:r w:rsidR="00C00F9D" w:rsidRPr="00FB6BFF">
        <w:rPr>
          <w:bCs/>
          <w:lang w:val="en-US"/>
        </w:rPr>
        <w:t>nited States</w:t>
      </w:r>
      <w:r w:rsidRPr="00FB6BFF">
        <w:rPr>
          <w:bCs/>
          <w:lang w:val="en-US"/>
        </w:rPr>
        <w:t>: Paramount Pictures.</w:t>
      </w:r>
    </w:p>
    <w:p w14:paraId="1A0D5925" w14:textId="4ED9E9B0" w:rsidR="00C00F9D" w:rsidRPr="00FB6BFF" w:rsidRDefault="002E7A46" w:rsidP="00C00F9D">
      <w:pPr>
        <w:pStyle w:val="Akapitzlist"/>
        <w:numPr>
          <w:ilvl w:val="0"/>
          <w:numId w:val="3"/>
        </w:numPr>
        <w:spacing w:before="120" w:after="120" w:line="240" w:lineRule="auto"/>
        <w:ind w:left="12"/>
        <w:jc w:val="both"/>
        <w:rPr>
          <w:b/>
          <w:bCs/>
          <w:lang w:val="en-US"/>
        </w:rPr>
      </w:pPr>
      <w:r w:rsidRPr="00FB6BFF">
        <w:rPr>
          <w:b/>
          <w:bCs/>
          <w:lang w:val="en-US"/>
        </w:rPr>
        <w:t>n</w:t>
      </w:r>
      <w:r w:rsidR="00C00F9D" w:rsidRPr="00FB6BFF">
        <w:rPr>
          <w:b/>
          <w:bCs/>
          <w:lang w:val="en-US"/>
        </w:rPr>
        <w:t>on-English-language film</w:t>
      </w:r>
      <w:r w:rsidR="00DF45F7" w:rsidRPr="00FB6BFF">
        <w:rPr>
          <w:b/>
          <w:bCs/>
          <w:lang w:val="en-US"/>
        </w:rPr>
        <w:t>s</w:t>
      </w:r>
    </w:p>
    <w:p w14:paraId="7957F10D" w14:textId="7D698DEE" w:rsidR="00C00F9D" w:rsidRPr="00FB6BFF" w:rsidRDefault="002E7A46" w:rsidP="002E7A46">
      <w:pPr>
        <w:ind w:left="708"/>
        <w:rPr>
          <w:rFonts w:ascii="Calibri" w:eastAsia="SimSun" w:hAnsi="Calibri" w:cs="Tahoma"/>
          <w:bCs/>
          <w:kern w:val="3"/>
          <w:lang w:val="en-US"/>
        </w:rPr>
      </w:pPr>
      <w:r w:rsidRPr="00FB6BFF">
        <w:rPr>
          <w:rFonts w:ascii="Calibri" w:eastAsia="SimSun" w:hAnsi="Calibri" w:cs="Tahoma"/>
          <w:bCs/>
          <w:kern w:val="3"/>
          <w:lang w:val="en-US"/>
        </w:rPr>
        <w:t xml:space="preserve">Navarro, B., Cuarón, A., Torresblanco, F., Augustin, A. (Producers), &amp; del Toro, G. (Producer &amp; Director). (2006). </w:t>
      </w:r>
      <w:r w:rsidRPr="00FB6BFF">
        <w:rPr>
          <w:rFonts w:ascii="Calibri" w:eastAsia="SimSun" w:hAnsi="Calibri" w:cs="Tahoma"/>
          <w:bCs/>
          <w:i/>
          <w:kern w:val="3"/>
          <w:lang w:val="en-US"/>
        </w:rPr>
        <w:t>El laberinto del fauno</w:t>
      </w:r>
      <w:r w:rsidRPr="00FB6BFF">
        <w:rPr>
          <w:rFonts w:ascii="Calibri" w:eastAsia="SimSun" w:hAnsi="Calibri" w:cs="Tahoma"/>
          <w:bCs/>
          <w:kern w:val="3"/>
          <w:lang w:val="en-US"/>
        </w:rPr>
        <w:t xml:space="preserve"> [Pan’s labyrinth] [Motion picture]. Mexico, Spain, &amp; United States: Picturehouse &amp; Warner Bros.</w:t>
      </w:r>
    </w:p>
    <w:p w14:paraId="298B656B" w14:textId="4453D541" w:rsidR="002116BD" w:rsidRPr="00FB6BFF" w:rsidRDefault="00C00F9D" w:rsidP="002116BD">
      <w:pPr>
        <w:pStyle w:val="Akapitzlist"/>
        <w:numPr>
          <w:ilvl w:val="0"/>
          <w:numId w:val="3"/>
        </w:numPr>
        <w:spacing w:before="120" w:after="120" w:line="240" w:lineRule="auto"/>
        <w:ind w:left="12"/>
        <w:jc w:val="both"/>
        <w:rPr>
          <w:b/>
          <w:bCs/>
          <w:lang w:val="en-US"/>
        </w:rPr>
      </w:pPr>
      <w:r w:rsidRPr="00FB6BFF">
        <w:rPr>
          <w:b/>
          <w:bCs/>
          <w:lang w:val="en-US"/>
        </w:rPr>
        <w:t>television series</w:t>
      </w:r>
    </w:p>
    <w:p w14:paraId="1AF79B30" w14:textId="624B9A29" w:rsidR="00C00F9D" w:rsidRPr="00FB6BFF" w:rsidRDefault="00C00F9D" w:rsidP="00C00F9D">
      <w:pPr>
        <w:ind w:left="708"/>
        <w:jc w:val="both"/>
        <w:rPr>
          <w:rFonts w:ascii="Calibri" w:eastAsia="SimSun" w:hAnsi="Calibri" w:cs="Tahoma"/>
          <w:bCs/>
          <w:kern w:val="3"/>
        </w:rPr>
      </w:pPr>
      <w:r w:rsidRPr="00FB6BFF">
        <w:rPr>
          <w:rFonts w:ascii="Calibri" w:eastAsia="SimSun" w:hAnsi="Calibri" w:cs="Tahoma"/>
          <w:bCs/>
          <w:kern w:val="3"/>
          <w:lang w:val="en-US"/>
        </w:rPr>
        <w:t xml:space="preserve">Gamble, S., &amp; McNamara, J. (Producers). (2015–Present). </w:t>
      </w:r>
      <w:r w:rsidRPr="00FB6BFF">
        <w:rPr>
          <w:rFonts w:ascii="Calibri" w:eastAsia="SimSun" w:hAnsi="Calibri" w:cs="Tahoma"/>
          <w:bCs/>
          <w:i/>
          <w:kern w:val="3"/>
          <w:lang w:val="en-US"/>
        </w:rPr>
        <w:t>The magicians</w:t>
      </w:r>
      <w:r w:rsidRPr="00FB6BFF">
        <w:rPr>
          <w:rFonts w:ascii="Calibri" w:eastAsia="SimSun" w:hAnsi="Calibri" w:cs="Tahoma"/>
          <w:bCs/>
          <w:kern w:val="3"/>
          <w:lang w:val="en-US"/>
        </w:rPr>
        <w:t xml:space="preserve"> [Television series]. </w:t>
      </w:r>
      <w:r w:rsidRPr="00FB6BFF">
        <w:rPr>
          <w:rFonts w:ascii="Calibri" w:eastAsia="SimSun" w:hAnsi="Calibri" w:cs="Tahoma"/>
          <w:bCs/>
          <w:kern w:val="3"/>
        </w:rPr>
        <w:t>New York, NY: Syfy.</w:t>
      </w:r>
    </w:p>
    <w:p w14:paraId="216C1C56" w14:textId="39E85DDD" w:rsidR="002116BD" w:rsidRPr="00FB6BFF" w:rsidRDefault="00C00F9D" w:rsidP="00C00F9D">
      <w:pPr>
        <w:pStyle w:val="Akapitzlist"/>
        <w:numPr>
          <w:ilvl w:val="0"/>
          <w:numId w:val="23"/>
        </w:numPr>
        <w:spacing w:before="120" w:after="120" w:line="240" w:lineRule="auto"/>
        <w:ind w:left="0" w:firstLine="0"/>
        <w:jc w:val="both"/>
        <w:rPr>
          <w:b/>
          <w:bCs/>
          <w:lang w:val="en-US"/>
        </w:rPr>
      </w:pPr>
      <w:r w:rsidRPr="00FB6BFF">
        <w:rPr>
          <w:b/>
          <w:bCs/>
          <w:lang w:val="en-US"/>
        </w:rPr>
        <w:t>television series episode</w:t>
      </w:r>
    </w:p>
    <w:p w14:paraId="4B87C0B2" w14:textId="272B3DCD" w:rsidR="002116BD" w:rsidRPr="00FB6BFF" w:rsidRDefault="002116BD" w:rsidP="002116BD">
      <w:pPr>
        <w:pStyle w:val="Akapitzlist"/>
        <w:spacing w:before="120" w:after="120" w:line="240" w:lineRule="auto"/>
        <w:ind w:left="708"/>
        <w:jc w:val="both"/>
        <w:rPr>
          <w:lang w:val="en-US"/>
        </w:rPr>
      </w:pPr>
      <w:r w:rsidRPr="00FB6BFF">
        <w:rPr>
          <w:bCs/>
          <w:lang w:val="nb-NO"/>
        </w:rPr>
        <w:t xml:space="preserve">Duffer, M., </w:t>
      </w:r>
      <w:r w:rsidR="00C00F9D" w:rsidRPr="00FB6BFF">
        <w:rPr>
          <w:bCs/>
          <w:lang w:val="nb-NO"/>
        </w:rPr>
        <w:t xml:space="preserve">&amp; </w:t>
      </w:r>
      <w:r w:rsidRPr="00FB6BFF">
        <w:rPr>
          <w:bCs/>
          <w:lang w:val="nb-NO"/>
        </w:rPr>
        <w:t>Duffer, R. (</w:t>
      </w:r>
      <w:r w:rsidR="00C00F9D" w:rsidRPr="00FB6BFF">
        <w:rPr>
          <w:bCs/>
          <w:lang w:val="nb-NO"/>
        </w:rPr>
        <w:t>Writers &amp; Directors</w:t>
      </w:r>
      <w:r w:rsidRPr="00FB6BFF">
        <w:rPr>
          <w:bCs/>
          <w:lang w:val="nb-NO"/>
        </w:rPr>
        <w:t xml:space="preserve">). </w:t>
      </w:r>
      <w:r w:rsidRPr="00FB6BFF">
        <w:rPr>
          <w:bCs/>
          <w:lang w:val="en-US"/>
        </w:rPr>
        <w:t>(2016). Chapter one: The vanishing of Will Byers [</w:t>
      </w:r>
      <w:r w:rsidR="00C00F9D" w:rsidRPr="00FB6BFF">
        <w:rPr>
          <w:bCs/>
          <w:lang w:val="en-US"/>
        </w:rPr>
        <w:t>Television series episode</w:t>
      </w:r>
      <w:r w:rsidRPr="00FB6BFF">
        <w:rPr>
          <w:bCs/>
          <w:lang w:val="en-US"/>
        </w:rPr>
        <w:t xml:space="preserve">]. </w:t>
      </w:r>
      <w:r w:rsidR="00C00F9D" w:rsidRPr="00FB6BFF">
        <w:rPr>
          <w:bCs/>
          <w:lang w:val="en-US"/>
        </w:rPr>
        <w:t>In</w:t>
      </w:r>
      <w:r w:rsidRPr="00FB6BFF">
        <w:rPr>
          <w:bCs/>
          <w:lang w:val="en-US"/>
        </w:rPr>
        <w:t xml:space="preserve"> M. Duffer</w:t>
      </w:r>
      <w:r w:rsidR="00C00F9D" w:rsidRPr="00FB6BFF">
        <w:rPr>
          <w:bCs/>
          <w:lang w:val="en-US"/>
        </w:rPr>
        <w:t xml:space="preserve"> &amp; </w:t>
      </w:r>
      <w:r w:rsidRPr="00FB6BFF">
        <w:rPr>
          <w:bCs/>
          <w:lang w:val="en-US"/>
        </w:rPr>
        <w:t>R. Duffer (</w:t>
      </w:r>
      <w:r w:rsidR="00C00F9D" w:rsidRPr="00FB6BFF">
        <w:rPr>
          <w:bCs/>
          <w:lang w:val="en-US"/>
        </w:rPr>
        <w:t>Producers</w:t>
      </w:r>
      <w:r w:rsidRPr="00FB6BFF">
        <w:rPr>
          <w:bCs/>
          <w:lang w:val="en-US"/>
        </w:rPr>
        <w:t xml:space="preserve">), </w:t>
      </w:r>
      <w:r w:rsidRPr="00FB6BFF">
        <w:rPr>
          <w:bCs/>
          <w:i/>
          <w:lang w:val="en-US"/>
        </w:rPr>
        <w:t>Stranger things</w:t>
      </w:r>
      <w:r w:rsidRPr="00FB6BFF">
        <w:rPr>
          <w:bCs/>
          <w:lang w:val="en-US"/>
        </w:rPr>
        <w:t>. Los Gatos, CA: Netflix.</w:t>
      </w:r>
    </w:p>
    <w:p w14:paraId="1C091C4C" w14:textId="77777777" w:rsidR="002116BD" w:rsidRPr="00FB6BFF" w:rsidRDefault="002116BD" w:rsidP="002116BD">
      <w:pPr>
        <w:spacing w:before="240" w:after="240" w:line="240" w:lineRule="auto"/>
        <w:jc w:val="both"/>
        <w:rPr>
          <w:b/>
          <w:bCs/>
          <w:lang w:val="en-US"/>
        </w:rPr>
      </w:pPr>
    </w:p>
    <w:p w14:paraId="248F53B9" w14:textId="085BE5F2" w:rsidR="002116BD" w:rsidRPr="00FB6BFF" w:rsidRDefault="002E7A46" w:rsidP="002116BD">
      <w:pPr>
        <w:spacing w:before="240" w:after="240" w:line="240" w:lineRule="auto"/>
        <w:jc w:val="both"/>
        <w:rPr>
          <w:b/>
          <w:bCs/>
        </w:rPr>
      </w:pPr>
      <w:r w:rsidRPr="00FB6BFF">
        <w:rPr>
          <w:b/>
          <w:bCs/>
        </w:rPr>
        <w:t>Other sources</w:t>
      </w:r>
    </w:p>
    <w:p w14:paraId="298B97F5" w14:textId="1A1C095A" w:rsidR="002116BD" w:rsidRPr="00FB6BFF" w:rsidRDefault="002E7A46" w:rsidP="002116BD">
      <w:pPr>
        <w:pStyle w:val="Akapitzlis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120" w:line="240" w:lineRule="auto"/>
        <w:ind w:left="0"/>
        <w:jc w:val="both"/>
        <w:rPr>
          <w:b/>
          <w:bCs/>
          <w:sz w:val="20"/>
        </w:rPr>
      </w:pPr>
      <w:r w:rsidRPr="00FB6BFF">
        <w:rPr>
          <w:b/>
          <w:bCs/>
          <w:sz w:val="20"/>
        </w:rPr>
        <w:t>Please note:</w:t>
      </w:r>
    </w:p>
    <w:p w14:paraId="6B514ADF" w14:textId="5AF8319F" w:rsidR="002116BD" w:rsidRPr="00FB6BFF" w:rsidRDefault="002E7A46" w:rsidP="002116BD">
      <w:pPr>
        <w:pStyle w:val="Akapitzlist"/>
        <w:numPr>
          <w:ilvl w:val="0"/>
          <w:numId w:val="17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120" w:line="240" w:lineRule="auto"/>
        <w:jc w:val="both"/>
        <w:rPr>
          <w:bCs/>
          <w:sz w:val="20"/>
          <w:lang w:val="en-US"/>
        </w:rPr>
      </w:pPr>
      <w:r w:rsidRPr="00FB6BFF">
        <w:rPr>
          <w:bCs/>
          <w:sz w:val="20"/>
          <w:lang w:val="en-US"/>
        </w:rPr>
        <w:t>for video games,</w:t>
      </w:r>
      <w:r w:rsidR="002116BD" w:rsidRPr="00FB6BFF">
        <w:rPr>
          <w:bCs/>
          <w:sz w:val="20"/>
          <w:lang w:val="en-US"/>
        </w:rPr>
        <w:t xml:space="preserve"> </w:t>
      </w:r>
      <w:r w:rsidRPr="00FB6BFF">
        <w:rPr>
          <w:bCs/>
          <w:sz w:val="20"/>
          <w:lang w:val="en-US"/>
        </w:rPr>
        <w:t>before the year of release</w:t>
      </w:r>
      <w:r w:rsidR="002116BD" w:rsidRPr="00FB6BFF">
        <w:rPr>
          <w:bCs/>
          <w:sz w:val="20"/>
          <w:lang w:val="en-US"/>
        </w:rPr>
        <w:t xml:space="preserve"> (</w:t>
      </w:r>
      <w:r w:rsidRPr="00FB6BFF">
        <w:rPr>
          <w:bCs/>
          <w:sz w:val="20"/>
          <w:lang w:val="en-US"/>
        </w:rPr>
        <w:t>before a period</w:t>
      </w:r>
      <w:r w:rsidR="002116BD" w:rsidRPr="00FB6BFF">
        <w:rPr>
          <w:bCs/>
          <w:sz w:val="20"/>
          <w:lang w:val="en-US"/>
        </w:rPr>
        <w:t xml:space="preserve">) </w:t>
      </w:r>
      <w:r w:rsidRPr="00FB6BFF">
        <w:rPr>
          <w:bCs/>
          <w:sz w:val="20"/>
          <w:lang w:val="en-US"/>
        </w:rPr>
        <w:t>the developer’s name should be added</w:t>
      </w:r>
      <w:r w:rsidR="002116BD" w:rsidRPr="00FB6BFF">
        <w:rPr>
          <w:bCs/>
          <w:sz w:val="20"/>
          <w:lang w:val="en-US"/>
        </w:rPr>
        <w:t xml:space="preserve">, </w:t>
      </w:r>
      <w:r w:rsidRPr="00FB6BFF">
        <w:rPr>
          <w:bCs/>
          <w:sz w:val="20"/>
          <w:lang w:val="en-US"/>
        </w:rPr>
        <w:t xml:space="preserve">and after the city </w:t>
      </w:r>
      <w:r w:rsidR="002116BD" w:rsidRPr="00FB6BFF">
        <w:rPr>
          <w:bCs/>
          <w:sz w:val="20"/>
          <w:lang w:val="en-US"/>
        </w:rPr>
        <w:t>(</w:t>
      </w:r>
      <w:r w:rsidRPr="00FB6BFF">
        <w:rPr>
          <w:bCs/>
          <w:sz w:val="20"/>
          <w:lang w:val="en-US"/>
        </w:rPr>
        <w:t>after a colon</w:t>
      </w:r>
      <w:r w:rsidR="002116BD" w:rsidRPr="00FB6BFF">
        <w:rPr>
          <w:bCs/>
          <w:sz w:val="20"/>
          <w:lang w:val="en-US"/>
        </w:rPr>
        <w:t>) –</w:t>
      </w:r>
      <w:r w:rsidR="00DF45F7" w:rsidRPr="00FB6BFF">
        <w:rPr>
          <w:bCs/>
          <w:sz w:val="20"/>
          <w:lang w:val="en-US"/>
        </w:rPr>
        <w:t xml:space="preserve"> please include</w:t>
      </w:r>
      <w:r w:rsidR="002116BD" w:rsidRPr="00FB6BFF">
        <w:rPr>
          <w:bCs/>
          <w:sz w:val="20"/>
          <w:lang w:val="en-US"/>
        </w:rPr>
        <w:t xml:space="preserve"> </w:t>
      </w:r>
      <w:r w:rsidRPr="00FB6BFF">
        <w:rPr>
          <w:bCs/>
          <w:sz w:val="20"/>
          <w:lang w:val="en-US"/>
        </w:rPr>
        <w:t>the publisher’s name</w:t>
      </w:r>
      <w:r w:rsidR="00896723" w:rsidRPr="00FB6BFF">
        <w:rPr>
          <w:bCs/>
          <w:sz w:val="20"/>
          <w:lang w:val="en-US"/>
        </w:rPr>
        <w:t xml:space="preserve"> </w:t>
      </w:r>
    </w:p>
    <w:p w14:paraId="28B2480C" w14:textId="29B395D2" w:rsidR="002116BD" w:rsidRPr="00FB6BFF" w:rsidRDefault="00896723" w:rsidP="002116BD">
      <w:pPr>
        <w:pStyle w:val="Akapitzlist"/>
        <w:numPr>
          <w:ilvl w:val="0"/>
          <w:numId w:val="17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120" w:line="240" w:lineRule="auto"/>
        <w:jc w:val="both"/>
        <w:rPr>
          <w:bCs/>
          <w:sz w:val="20"/>
          <w:lang w:val="en-US"/>
        </w:rPr>
      </w:pPr>
      <w:r w:rsidRPr="00FB6BFF">
        <w:rPr>
          <w:bCs/>
          <w:sz w:val="20"/>
          <w:lang w:val="en-US"/>
        </w:rPr>
        <w:t>for comic books and graphic novels, please list all creators</w:t>
      </w:r>
      <w:r w:rsidR="00DF45F7" w:rsidRPr="00FB6BFF">
        <w:rPr>
          <w:bCs/>
          <w:sz w:val="20"/>
          <w:lang w:val="en-US"/>
        </w:rPr>
        <w:t xml:space="preserve"> without indicating their roles</w:t>
      </w:r>
    </w:p>
    <w:p w14:paraId="5A82B1B9" w14:textId="169008C0" w:rsidR="002116BD" w:rsidRPr="00FB6BFF" w:rsidRDefault="00896723" w:rsidP="002116BD">
      <w:pPr>
        <w:pStyle w:val="Akapitzlist"/>
        <w:numPr>
          <w:ilvl w:val="0"/>
          <w:numId w:val="17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120" w:line="240" w:lineRule="auto"/>
        <w:jc w:val="both"/>
        <w:rPr>
          <w:bCs/>
          <w:sz w:val="20"/>
          <w:lang w:val="en-US"/>
        </w:rPr>
      </w:pPr>
      <w:r w:rsidRPr="00FB6BFF">
        <w:rPr>
          <w:bCs/>
          <w:sz w:val="20"/>
          <w:lang w:val="en-US"/>
        </w:rPr>
        <w:t>the comic book/graphic novel format usually applies to picturebooks too</w:t>
      </w:r>
    </w:p>
    <w:p w14:paraId="62E8FD57" w14:textId="711E480C" w:rsidR="002116BD" w:rsidRPr="00FB6BFF" w:rsidRDefault="00896723" w:rsidP="002116BD">
      <w:pPr>
        <w:pStyle w:val="Akapitzlist"/>
        <w:numPr>
          <w:ilvl w:val="0"/>
          <w:numId w:val="19"/>
        </w:numPr>
        <w:spacing w:before="120" w:after="120" w:line="240" w:lineRule="auto"/>
        <w:jc w:val="both"/>
        <w:rPr>
          <w:b/>
          <w:bCs/>
        </w:rPr>
      </w:pPr>
      <w:r w:rsidRPr="00FB6BFF">
        <w:rPr>
          <w:b/>
          <w:bCs/>
        </w:rPr>
        <w:t>video games</w:t>
      </w:r>
    </w:p>
    <w:p w14:paraId="1F4BEB78" w14:textId="315E3EDC" w:rsidR="002116BD" w:rsidRPr="00FB6BFF" w:rsidRDefault="002116BD" w:rsidP="002116BD">
      <w:pPr>
        <w:pStyle w:val="Akapitzlist"/>
        <w:spacing w:before="120" w:after="120" w:line="240" w:lineRule="auto"/>
        <w:ind w:left="360"/>
        <w:jc w:val="both"/>
        <w:rPr>
          <w:lang w:val="en-US"/>
        </w:rPr>
      </w:pPr>
      <w:r w:rsidRPr="00FB6BFF">
        <w:rPr>
          <w:lang w:val="en-US"/>
        </w:rPr>
        <w:t xml:space="preserve">Blizzard North. (2000). </w:t>
      </w:r>
      <w:r w:rsidRPr="00FB6BFF">
        <w:rPr>
          <w:i/>
          <w:lang w:val="en-US"/>
        </w:rPr>
        <w:t>Diablo II</w:t>
      </w:r>
      <w:r w:rsidRPr="00FB6BFF">
        <w:rPr>
          <w:lang w:val="en-US"/>
        </w:rPr>
        <w:t xml:space="preserve"> [</w:t>
      </w:r>
      <w:r w:rsidR="00896723" w:rsidRPr="00FB6BFF">
        <w:rPr>
          <w:lang w:val="en-US"/>
        </w:rPr>
        <w:t>video game</w:t>
      </w:r>
      <w:r w:rsidRPr="00FB6BFF">
        <w:rPr>
          <w:lang w:val="en-US"/>
        </w:rPr>
        <w:t>]. Irvine, CA: Blizzard Entertainment.</w:t>
      </w:r>
    </w:p>
    <w:p w14:paraId="61457C2C" w14:textId="77777777" w:rsidR="00DF45F7" w:rsidRPr="00FB6BFF" w:rsidRDefault="00896723" w:rsidP="00896723">
      <w:pPr>
        <w:pStyle w:val="Akapitzlist"/>
        <w:numPr>
          <w:ilvl w:val="0"/>
          <w:numId w:val="19"/>
        </w:numPr>
        <w:spacing w:before="120" w:after="120" w:line="240" w:lineRule="auto"/>
      </w:pPr>
      <w:r w:rsidRPr="00FB6BFF">
        <w:rPr>
          <w:b/>
        </w:rPr>
        <w:t>comic books and graphic novels</w:t>
      </w:r>
    </w:p>
    <w:p w14:paraId="77357B1D" w14:textId="0BFF6EAC" w:rsidR="002116BD" w:rsidRPr="00FB6BFF" w:rsidRDefault="002116BD" w:rsidP="00DF45F7">
      <w:pPr>
        <w:pStyle w:val="Akapitzlist"/>
        <w:spacing w:before="120" w:after="120" w:line="240" w:lineRule="auto"/>
        <w:ind w:left="360"/>
      </w:pPr>
      <w:r w:rsidRPr="00FB6BFF">
        <w:rPr>
          <w:lang w:val="en-US"/>
        </w:rPr>
        <w:t xml:space="preserve">Moore, A., </w:t>
      </w:r>
      <w:r w:rsidR="00896723" w:rsidRPr="00FB6BFF">
        <w:rPr>
          <w:lang w:val="en-US"/>
        </w:rPr>
        <w:t xml:space="preserve">&amp; </w:t>
      </w:r>
      <w:r w:rsidRPr="00FB6BFF">
        <w:rPr>
          <w:lang w:val="en-US"/>
        </w:rPr>
        <w:t>Lloyd, D. (</w:t>
      </w:r>
      <w:r w:rsidR="00896723" w:rsidRPr="00FB6BFF">
        <w:rPr>
          <w:lang w:val="en-US"/>
        </w:rPr>
        <w:t>1990</w:t>
      </w:r>
      <w:r w:rsidRPr="00FB6BFF">
        <w:rPr>
          <w:lang w:val="en-US"/>
        </w:rPr>
        <w:t xml:space="preserve">). </w:t>
      </w:r>
      <w:r w:rsidRPr="00FB6BFF">
        <w:rPr>
          <w:i/>
          <w:lang w:val="en-US"/>
        </w:rPr>
        <w:t xml:space="preserve">V </w:t>
      </w:r>
      <w:r w:rsidR="00896723" w:rsidRPr="00FB6BFF">
        <w:rPr>
          <w:i/>
          <w:lang w:val="en-US"/>
        </w:rPr>
        <w:t>for</w:t>
      </w:r>
      <w:r w:rsidRPr="00FB6BFF">
        <w:rPr>
          <w:i/>
          <w:lang w:val="en-US"/>
        </w:rPr>
        <w:t xml:space="preserve"> Vendetta</w:t>
      </w:r>
      <w:r w:rsidR="00896723" w:rsidRPr="00FB6BFF">
        <w:rPr>
          <w:lang w:val="en-US"/>
        </w:rPr>
        <w:t xml:space="preserve">. </w:t>
      </w:r>
      <w:r w:rsidR="00896723" w:rsidRPr="00FB6BFF">
        <w:t>New York, NY: Vertigo.</w:t>
      </w:r>
    </w:p>
    <w:p w14:paraId="59C0FDC5" w14:textId="0A0F79B7" w:rsidR="002116BD" w:rsidRPr="00FB6BFF" w:rsidRDefault="00896723" w:rsidP="002116BD">
      <w:pPr>
        <w:pStyle w:val="Akapitzlist"/>
        <w:numPr>
          <w:ilvl w:val="0"/>
          <w:numId w:val="19"/>
        </w:numPr>
        <w:spacing w:before="120" w:after="120" w:line="240" w:lineRule="auto"/>
        <w:jc w:val="both"/>
        <w:rPr>
          <w:b/>
          <w:bCs/>
          <w:lang w:val="en-US"/>
        </w:rPr>
      </w:pPr>
      <w:r w:rsidRPr="00FB6BFF">
        <w:rPr>
          <w:b/>
          <w:bCs/>
          <w:lang w:val="en-US"/>
        </w:rPr>
        <w:t>Unpublished dissertations, master’s theses, etc.</w:t>
      </w:r>
    </w:p>
    <w:p w14:paraId="5BD460AE" w14:textId="50047B17" w:rsidR="002116BD" w:rsidRPr="00FB6BFF" w:rsidRDefault="00896723" w:rsidP="002116BD">
      <w:pPr>
        <w:pStyle w:val="Akapitzlist"/>
        <w:spacing w:before="120" w:after="120" w:line="240" w:lineRule="auto"/>
        <w:ind w:left="360"/>
        <w:jc w:val="both"/>
        <w:rPr>
          <w:lang w:val="en-US"/>
        </w:rPr>
      </w:pPr>
      <w:r w:rsidRPr="00FB6BFF">
        <w:rPr>
          <w:lang w:val="en-US"/>
        </w:rPr>
        <w:t xml:space="preserve">Farnia, F. (2017). </w:t>
      </w:r>
      <w:r w:rsidRPr="00FB6BFF">
        <w:rPr>
          <w:i/>
          <w:lang w:val="en-US"/>
        </w:rPr>
        <w:t>A comparative study of the model of empowerment in six selected Iranian and English young adult novels</w:t>
      </w:r>
      <w:r w:rsidRPr="00FB6BFF">
        <w:rPr>
          <w:lang w:val="en-US"/>
        </w:rPr>
        <w:t>. Unpublished PhD thesis, The International Division, Shiraz University, Shiraz, Iran.</w:t>
      </w:r>
    </w:p>
    <w:p w14:paraId="7D8DE58C" w14:textId="3867800D" w:rsidR="002116BD" w:rsidRPr="00FB6BFF" w:rsidRDefault="00896723" w:rsidP="002116BD">
      <w:pPr>
        <w:pStyle w:val="Akapitzlist"/>
        <w:numPr>
          <w:ilvl w:val="0"/>
          <w:numId w:val="19"/>
        </w:numPr>
        <w:spacing w:before="120" w:after="120" w:line="240" w:lineRule="auto"/>
        <w:jc w:val="both"/>
        <w:rPr>
          <w:b/>
          <w:bCs/>
        </w:rPr>
      </w:pPr>
      <w:r w:rsidRPr="00FB6BFF">
        <w:rPr>
          <w:b/>
          <w:bCs/>
        </w:rPr>
        <w:t>conference presentations and other speeches</w:t>
      </w:r>
    </w:p>
    <w:p w14:paraId="47AC331B" w14:textId="613D5AE9" w:rsidR="002116BD" w:rsidRPr="00FB6BFF" w:rsidRDefault="002116BD" w:rsidP="002116BD">
      <w:pPr>
        <w:pStyle w:val="Akapitzlist"/>
        <w:spacing w:before="120" w:after="120" w:line="240" w:lineRule="auto"/>
        <w:ind w:left="360"/>
        <w:jc w:val="both"/>
      </w:pPr>
      <w:r w:rsidRPr="00FB6BFF">
        <w:t xml:space="preserve">Kostecka, W. (2017). </w:t>
      </w:r>
      <w:r w:rsidRPr="00FB6BFF">
        <w:rPr>
          <w:i/>
          <w:iCs/>
        </w:rPr>
        <w:t>Popkulturowe Krainy Czarów. Literackie konstrukty dziecięcego procesu poznawczego i doświadczania kultury popularnej</w:t>
      </w:r>
      <w:r w:rsidRPr="00FB6BFF">
        <w:t xml:space="preserve">. </w:t>
      </w:r>
      <w:r w:rsidR="00203BE8" w:rsidRPr="00FB6BFF">
        <w:t>Paper presented at the</w:t>
      </w:r>
      <w:r w:rsidRPr="00FB6BFF">
        <w:t xml:space="preserve"> </w:t>
      </w:r>
      <w:r w:rsidR="00203BE8" w:rsidRPr="00FB6BFF">
        <w:t>“</w:t>
      </w:r>
      <w:r w:rsidRPr="00FB6BFF">
        <w:t>Dzieci i młodzież w kręgu kultury popularnej”</w:t>
      </w:r>
      <w:r w:rsidR="00203BE8" w:rsidRPr="00FB6BFF">
        <w:t xml:space="preserve"> </w:t>
      </w:r>
      <w:r w:rsidR="00DF45F7" w:rsidRPr="00FB6BFF">
        <w:t xml:space="preserve">nationwide </w:t>
      </w:r>
      <w:r w:rsidR="00203BE8" w:rsidRPr="00FB6BFF">
        <w:t>conference</w:t>
      </w:r>
      <w:r w:rsidRPr="00FB6BFF">
        <w:t xml:space="preserve">, </w:t>
      </w:r>
      <w:r w:rsidRPr="00FB6BFF">
        <w:rPr>
          <w:rFonts w:cs="Calibri"/>
        </w:rPr>
        <w:t xml:space="preserve">Stowarzyszenie Badaczy Popkultury i Edukacji </w:t>
      </w:r>
      <w:r w:rsidR="003A4097">
        <w:rPr>
          <w:rFonts w:cs="Calibri"/>
        </w:rPr>
        <w:t xml:space="preserve">Popkulturowej </w:t>
      </w:r>
      <w:r w:rsidR="003A4097" w:rsidRPr="003A4097">
        <w:t>“</w:t>
      </w:r>
      <w:r w:rsidRPr="00FB6BFF">
        <w:rPr>
          <w:rFonts w:cs="Calibri"/>
        </w:rPr>
        <w:t>Trickster”, Wrocław</w:t>
      </w:r>
      <w:r w:rsidR="00DF45F7" w:rsidRPr="00FB6BFF">
        <w:rPr>
          <w:rFonts w:cs="Calibri"/>
        </w:rPr>
        <w:t>, Poland</w:t>
      </w:r>
      <w:r w:rsidRPr="00FB6BFF">
        <w:t>.</w:t>
      </w:r>
    </w:p>
    <w:p w14:paraId="34316767" w14:textId="191248DC" w:rsidR="002116BD" w:rsidRPr="00FB6BFF" w:rsidRDefault="00203BE8" w:rsidP="002116BD">
      <w:pPr>
        <w:pStyle w:val="Akapitzlist"/>
        <w:numPr>
          <w:ilvl w:val="0"/>
          <w:numId w:val="19"/>
        </w:numPr>
        <w:spacing w:before="120" w:after="120" w:line="240" w:lineRule="auto"/>
        <w:jc w:val="both"/>
        <w:rPr>
          <w:b/>
        </w:rPr>
      </w:pPr>
      <w:r w:rsidRPr="00FB6BFF">
        <w:rPr>
          <w:b/>
        </w:rPr>
        <w:t>internet sources</w:t>
      </w:r>
    </w:p>
    <w:p w14:paraId="6658B707" w14:textId="2249566A" w:rsidR="002116BD" w:rsidRPr="00FB6BFF" w:rsidRDefault="002116BD" w:rsidP="002116BD">
      <w:pPr>
        <w:pStyle w:val="Akapitzlist"/>
        <w:spacing w:before="120" w:after="120" w:line="240" w:lineRule="auto"/>
        <w:ind w:left="360"/>
        <w:jc w:val="both"/>
      </w:pPr>
      <w:r w:rsidRPr="00FB6BFF">
        <w:lastRenderedPageBreak/>
        <w:t xml:space="preserve">Kowolik, P. (2015). Kolekcjonerstwo dziecięce. </w:t>
      </w:r>
      <w:r w:rsidR="00203BE8" w:rsidRPr="00FB6BFF">
        <w:t>In</w:t>
      </w:r>
      <w:r w:rsidRPr="00FB6BFF">
        <w:t xml:space="preserve"> D. Waloszek (</w:t>
      </w:r>
      <w:r w:rsidR="00203BE8" w:rsidRPr="00FB6BFF">
        <w:t>E</w:t>
      </w:r>
      <w:r w:rsidRPr="00FB6BFF">
        <w:t xml:space="preserve">d.), </w:t>
      </w:r>
      <w:r w:rsidRPr="00FB6BFF">
        <w:rPr>
          <w:i/>
        </w:rPr>
        <w:t>Encyklopedia dzieciństwa</w:t>
      </w:r>
      <w:r w:rsidRPr="00FB6BFF">
        <w:t>. </w:t>
      </w:r>
      <w:r w:rsidR="00203BE8" w:rsidRPr="00FB6BFF">
        <w:t>Retrieved</w:t>
      </w:r>
      <w:r w:rsidR="00DF45F7" w:rsidRPr="00FB6BFF">
        <w:t> </w:t>
      </w:r>
      <w:r w:rsidR="00203BE8" w:rsidRPr="00FB6BFF">
        <w:t>from</w:t>
      </w:r>
      <w:r w:rsidR="00DF45F7" w:rsidRPr="00FB6BFF">
        <w:t> </w:t>
      </w:r>
      <w:r w:rsidRPr="00FB6BFF">
        <w:t> </w:t>
      </w:r>
      <w:hyperlink r:id="rId20" w:history="1">
        <w:r w:rsidRPr="00FB6BFF">
          <w:rPr>
            <w:rStyle w:val="Hipercze"/>
          </w:rPr>
          <w:t>http://encyklopediadziecinstwa.pl/index.php?title=Kolekcjonerstwo_dzieci%C4%99ce</w:t>
        </w:r>
      </w:hyperlink>
      <w:r w:rsidRPr="00FB6BFF">
        <w:t>.</w:t>
      </w:r>
    </w:p>
    <w:p w14:paraId="747274DC" w14:textId="4C83A6C2" w:rsidR="002116BD" w:rsidRPr="00FB6BFF" w:rsidRDefault="002116BD" w:rsidP="002116BD">
      <w:pPr>
        <w:pStyle w:val="Akapitzlist"/>
        <w:spacing w:before="120" w:after="120" w:line="240" w:lineRule="auto"/>
        <w:ind w:left="360"/>
        <w:jc w:val="both"/>
        <w:rPr>
          <w:lang w:val="en-US"/>
        </w:rPr>
      </w:pPr>
      <w:r w:rsidRPr="00FB6BFF">
        <w:rPr>
          <w:lang w:val="en-US"/>
        </w:rPr>
        <w:t xml:space="preserve">Mumford, G. (2017, 16 marca). </w:t>
      </w:r>
      <w:r w:rsidRPr="00FB6BFF">
        <w:rPr>
          <w:i/>
          <w:lang w:val="en-US"/>
        </w:rPr>
        <w:t>Beauty and the Beast</w:t>
      </w:r>
      <w:r w:rsidRPr="00FB6BFF">
        <w:rPr>
          <w:lang w:val="en-US"/>
        </w:rPr>
        <w:t>: Disney refuses to cut gay scene for Malaysian</w:t>
      </w:r>
      <w:r w:rsidR="00DF45F7" w:rsidRPr="00FB6BFF">
        <w:rPr>
          <w:lang w:val="en-US"/>
        </w:rPr>
        <w:t> </w:t>
      </w:r>
      <w:r w:rsidRPr="00FB6BFF">
        <w:rPr>
          <w:lang w:val="en-US"/>
        </w:rPr>
        <w:t>release.</w:t>
      </w:r>
      <w:r w:rsidR="00DF45F7" w:rsidRPr="00FB6BFF">
        <w:rPr>
          <w:lang w:val="en-US"/>
        </w:rPr>
        <w:t> </w:t>
      </w:r>
      <w:r w:rsidRPr="00FB6BFF">
        <w:rPr>
          <w:i/>
          <w:lang w:val="en-US"/>
        </w:rPr>
        <w:t>The</w:t>
      </w:r>
      <w:r w:rsidR="00DF45F7" w:rsidRPr="00FB6BFF">
        <w:rPr>
          <w:i/>
          <w:lang w:val="en-US"/>
        </w:rPr>
        <w:t> </w:t>
      </w:r>
      <w:r w:rsidRPr="00FB6BFF">
        <w:rPr>
          <w:i/>
          <w:lang w:val="en-US"/>
        </w:rPr>
        <w:t>Guardian</w:t>
      </w:r>
      <w:r w:rsidRPr="00FB6BFF">
        <w:rPr>
          <w:lang w:val="en-US"/>
        </w:rPr>
        <w:t>.</w:t>
      </w:r>
      <w:r w:rsidR="00DF45F7" w:rsidRPr="00FB6BFF">
        <w:rPr>
          <w:lang w:val="en-US"/>
        </w:rPr>
        <w:t> </w:t>
      </w:r>
      <w:r w:rsidR="00203BE8" w:rsidRPr="00FB6BFF">
        <w:rPr>
          <w:lang w:val="en-US"/>
        </w:rPr>
        <w:t>Retrieved</w:t>
      </w:r>
      <w:r w:rsidR="00DF45F7" w:rsidRPr="00FB6BFF">
        <w:rPr>
          <w:lang w:val="en-US"/>
        </w:rPr>
        <w:t> </w:t>
      </w:r>
      <w:r w:rsidR="00203BE8" w:rsidRPr="00FB6BFF">
        <w:rPr>
          <w:lang w:val="en-US"/>
        </w:rPr>
        <w:t>from</w:t>
      </w:r>
      <w:r w:rsidR="00DF45F7" w:rsidRPr="00FB6BFF">
        <w:rPr>
          <w:lang w:val="en-US"/>
        </w:rPr>
        <w:t> </w:t>
      </w:r>
      <w:hyperlink r:id="rId21" w:history="1">
        <w:r w:rsidR="00DF45F7" w:rsidRPr="00FB6BFF">
          <w:rPr>
            <w:rStyle w:val="Hipercze"/>
            <w:lang w:val="en-US"/>
          </w:rPr>
          <w:t>https://www.theguardian.com/film/2017/mar/16/beauty-and-the-beast-disney-gay-scene-malaysia</w:t>
        </w:r>
      </w:hyperlink>
      <w:r w:rsidRPr="00FB6BFF">
        <w:rPr>
          <w:lang w:val="en-US"/>
        </w:rPr>
        <w:t>.</w:t>
      </w:r>
    </w:p>
    <w:p w14:paraId="65FA1CA6" w14:textId="27DCEA22" w:rsidR="002116BD" w:rsidRPr="00FB6BFF" w:rsidRDefault="00203BE8" w:rsidP="002116BD">
      <w:pPr>
        <w:pStyle w:val="Akapitzlist"/>
        <w:numPr>
          <w:ilvl w:val="0"/>
          <w:numId w:val="19"/>
        </w:numPr>
        <w:spacing w:before="120" w:after="120" w:line="240" w:lineRule="auto"/>
        <w:jc w:val="both"/>
        <w:rPr>
          <w:b/>
          <w:bCs/>
        </w:rPr>
      </w:pPr>
      <w:r w:rsidRPr="00FB6BFF">
        <w:rPr>
          <w:b/>
          <w:bCs/>
        </w:rPr>
        <w:t>live performances</w:t>
      </w:r>
    </w:p>
    <w:p w14:paraId="38083002" w14:textId="77777777" w:rsidR="00203BE8" w:rsidRPr="00203BE8" w:rsidRDefault="00203BE8" w:rsidP="00203BE8">
      <w:pPr>
        <w:spacing w:before="100" w:beforeAutospacing="1" w:after="100" w:afterAutospacing="1" w:line="240" w:lineRule="auto"/>
        <w:ind w:left="360"/>
        <w:jc w:val="both"/>
        <w:rPr>
          <w:rFonts w:ascii="Segoe UI" w:eastAsia="Times New Roman" w:hAnsi="Segoe UI" w:cs="Times New Roman"/>
          <w:lang w:eastAsia="pl-PL"/>
        </w:rPr>
      </w:pPr>
      <w:r w:rsidRPr="00FB6BFF">
        <w:rPr>
          <w:rFonts w:ascii="Segoe UI" w:eastAsia="Times New Roman" w:hAnsi="Segoe UI" w:cs="Times New Roman"/>
          <w:lang w:val="en-US" w:eastAsia="pl-PL"/>
        </w:rPr>
        <w:t xml:space="preserve">Miranda, L.-M. (Writer), &amp; Kail, T. (Director). (2015, January 20). </w:t>
      </w:r>
      <w:r w:rsidRPr="00FB6BFF">
        <w:rPr>
          <w:rFonts w:ascii="Segoe UI" w:eastAsia="Times New Roman" w:hAnsi="Segoe UI" w:cs="Times New Roman"/>
          <w:i/>
          <w:lang w:val="en-US" w:eastAsia="pl-PL"/>
        </w:rPr>
        <w:t>Hamilton: An American musical</w:t>
      </w:r>
      <w:r w:rsidRPr="00FB6BFF">
        <w:rPr>
          <w:rFonts w:ascii="Segoe UI" w:eastAsia="Times New Roman" w:hAnsi="Segoe UI" w:cs="Times New Roman"/>
          <w:lang w:val="en-US" w:eastAsia="pl-PL"/>
        </w:rPr>
        <w:t xml:space="preserve">. </w:t>
      </w:r>
      <w:r w:rsidRPr="00FB6BFF">
        <w:rPr>
          <w:rFonts w:ascii="Segoe UI" w:eastAsia="Times New Roman" w:hAnsi="Segoe UI" w:cs="Times New Roman"/>
          <w:lang w:eastAsia="pl-PL"/>
        </w:rPr>
        <w:t>Live performance at the Public Theater, New York, NY.</w:t>
      </w:r>
    </w:p>
    <w:p w14:paraId="2D2681F6" w14:textId="77777777" w:rsidR="00203BE8" w:rsidRPr="00203BE8" w:rsidRDefault="00203BE8" w:rsidP="0020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CAE6FA" w14:textId="77777777" w:rsidR="002116BD" w:rsidRDefault="002116BD" w:rsidP="002116BD">
      <w:pPr>
        <w:pStyle w:val="Akapitzlist"/>
        <w:spacing w:before="120" w:after="120" w:line="240" w:lineRule="auto"/>
        <w:ind w:left="360"/>
        <w:jc w:val="both"/>
      </w:pPr>
    </w:p>
    <w:p w14:paraId="5C0BCD6D" w14:textId="77777777" w:rsidR="002116BD" w:rsidRDefault="002116BD" w:rsidP="002116BD">
      <w:pPr>
        <w:pStyle w:val="Akapitzlist"/>
        <w:spacing w:before="120" w:after="120" w:line="240" w:lineRule="auto"/>
        <w:ind w:left="360"/>
        <w:jc w:val="both"/>
      </w:pPr>
    </w:p>
    <w:p w14:paraId="4BD4A8D0" w14:textId="77777777" w:rsidR="002116BD" w:rsidRDefault="002116BD" w:rsidP="002116BD"/>
    <w:p w14:paraId="5CDC5B83" w14:textId="77777777" w:rsidR="007C4C8A" w:rsidRDefault="007C4C8A" w:rsidP="000136B2"/>
    <w:sectPr w:rsidR="007C4C8A" w:rsidSect="00BA1B4C">
      <w:headerReference w:type="default" r:id="rId2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CD54B" w14:textId="77777777" w:rsidR="005C2BD1" w:rsidRDefault="005C2BD1" w:rsidP="00BA1B4C">
      <w:pPr>
        <w:spacing w:after="0" w:line="240" w:lineRule="auto"/>
      </w:pPr>
      <w:r>
        <w:separator/>
      </w:r>
    </w:p>
  </w:endnote>
  <w:endnote w:type="continuationSeparator" w:id="0">
    <w:p w14:paraId="6CA62074" w14:textId="77777777" w:rsidR="005C2BD1" w:rsidRDefault="005C2BD1" w:rsidP="00BA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09DF0" w14:textId="77777777" w:rsidR="005C2BD1" w:rsidRDefault="005C2BD1" w:rsidP="00BA1B4C">
      <w:pPr>
        <w:spacing w:after="0" w:line="240" w:lineRule="auto"/>
      </w:pPr>
      <w:r>
        <w:separator/>
      </w:r>
    </w:p>
  </w:footnote>
  <w:footnote w:type="continuationSeparator" w:id="0">
    <w:p w14:paraId="258824E9" w14:textId="77777777" w:rsidR="005C2BD1" w:rsidRDefault="005C2BD1" w:rsidP="00BA1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6807770"/>
      <w:docPartObj>
        <w:docPartGallery w:val="Page Numbers (Top of Page)"/>
        <w:docPartUnique/>
      </w:docPartObj>
    </w:sdtPr>
    <w:sdtEndPr/>
    <w:sdtContent>
      <w:p w14:paraId="6ACC1A48" w14:textId="5AA6A338" w:rsidR="00BA1B4C" w:rsidRDefault="00BA1B4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B45">
          <w:rPr>
            <w:noProof/>
          </w:rPr>
          <w:t>8</w:t>
        </w:r>
        <w:r>
          <w:fldChar w:fldCharType="end"/>
        </w:r>
      </w:p>
    </w:sdtContent>
  </w:sdt>
  <w:p w14:paraId="33192894" w14:textId="77777777" w:rsidR="00BA1B4C" w:rsidRDefault="00BA1B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69FB"/>
    <w:multiLevelType w:val="hybridMultilevel"/>
    <w:tmpl w:val="B1B2AD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EF6407"/>
    <w:multiLevelType w:val="multilevel"/>
    <w:tmpl w:val="7840C466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7EA19A2"/>
    <w:multiLevelType w:val="hybridMultilevel"/>
    <w:tmpl w:val="2842BA4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EF6DDD"/>
    <w:multiLevelType w:val="hybridMultilevel"/>
    <w:tmpl w:val="B23AC75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E3120E"/>
    <w:multiLevelType w:val="hybridMultilevel"/>
    <w:tmpl w:val="9F5049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797B0D"/>
    <w:multiLevelType w:val="multilevel"/>
    <w:tmpl w:val="DCC63AAA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3F2A0280"/>
    <w:multiLevelType w:val="hybridMultilevel"/>
    <w:tmpl w:val="27C049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3C0400"/>
    <w:multiLevelType w:val="hybridMultilevel"/>
    <w:tmpl w:val="5A6C5E8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57C6244"/>
    <w:multiLevelType w:val="hybridMultilevel"/>
    <w:tmpl w:val="2F64971A"/>
    <w:lvl w:ilvl="0" w:tplc="04150003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9">
    <w:nsid w:val="479D03FB"/>
    <w:multiLevelType w:val="hybridMultilevel"/>
    <w:tmpl w:val="A3EAF58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182C21"/>
    <w:multiLevelType w:val="hybridMultilevel"/>
    <w:tmpl w:val="A6D4ACC8"/>
    <w:lvl w:ilvl="0" w:tplc="FB64EBB2">
      <w:numFmt w:val="bullet"/>
      <w:lvlText w:val=""/>
      <w:lvlJc w:val="left"/>
      <w:pPr>
        <w:ind w:left="1776" w:hanging="360"/>
      </w:pPr>
      <w:rPr>
        <w:rFonts w:ascii="Wingdings" w:eastAsia="SimSun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5084F4A"/>
    <w:multiLevelType w:val="hybridMultilevel"/>
    <w:tmpl w:val="1C78AF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8E5BE6"/>
    <w:multiLevelType w:val="hybridMultilevel"/>
    <w:tmpl w:val="8B7A58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B416ED"/>
    <w:multiLevelType w:val="hybridMultilevel"/>
    <w:tmpl w:val="B52E5204"/>
    <w:lvl w:ilvl="0" w:tplc="EEF4CD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D8794B"/>
    <w:multiLevelType w:val="multilevel"/>
    <w:tmpl w:val="2796F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D92517"/>
    <w:multiLevelType w:val="multilevel"/>
    <w:tmpl w:val="4F746938"/>
    <w:styleLink w:val="WWNum9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66907702"/>
    <w:multiLevelType w:val="hybridMultilevel"/>
    <w:tmpl w:val="9A3EA7E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6E10F60"/>
    <w:multiLevelType w:val="hybridMultilevel"/>
    <w:tmpl w:val="F966498A"/>
    <w:lvl w:ilvl="0" w:tplc="04150003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8">
    <w:nsid w:val="6E1A3A77"/>
    <w:multiLevelType w:val="hybridMultilevel"/>
    <w:tmpl w:val="2F5AFC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702436"/>
    <w:multiLevelType w:val="multilevel"/>
    <w:tmpl w:val="DD14C352"/>
    <w:styleLink w:val="WWNum19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7CAF1732"/>
    <w:multiLevelType w:val="hybridMultilevel"/>
    <w:tmpl w:val="CC34A5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B927B2"/>
    <w:multiLevelType w:val="multilevel"/>
    <w:tmpl w:val="078E2A86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5"/>
  </w:num>
  <w:num w:numId="2">
    <w:abstractNumId w:val="5"/>
  </w:num>
  <w:num w:numId="3">
    <w:abstractNumId w:val="21"/>
  </w:num>
  <w:num w:numId="4">
    <w:abstractNumId w:val="1"/>
  </w:num>
  <w:num w:numId="5">
    <w:abstractNumId w:val="19"/>
  </w:num>
  <w:num w:numId="6">
    <w:abstractNumId w:val="15"/>
    <w:lvlOverride w:ilvl="0">
      <w:startOverride w:val="1"/>
    </w:lvlOverride>
  </w:num>
  <w:num w:numId="7">
    <w:abstractNumId w:val="13"/>
  </w:num>
  <w:num w:numId="8">
    <w:abstractNumId w:val="20"/>
  </w:num>
  <w:num w:numId="9">
    <w:abstractNumId w:val="12"/>
  </w:num>
  <w:num w:numId="10">
    <w:abstractNumId w:val="18"/>
  </w:num>
  <w:num w:numId="11">
    <w:abstractNumId w:val="7"/>
  </w:num>
  <w:num w:numId="12">
    <w:abstractNumId w:val="16"/>
  </w:num>
  <w:num w:numId="13">
    <w:abstractNumId w:val="9"/>
  </w:num>
  <w:num w:numId="14">
    <w:abstractNumId w:val="2"/>
  </w:num>
  <w:num w:numId="15">
    <w:abstractNumId w:val="8"/>
  </w:num>
  <w:num w:numId="16">
    <w:abstractNumId w:val="17"/>
  </w:num>
  <w:num w:numId="17">
    <w:abstractNumId w:val="3"/>
  </w:num>
  <w:num w:numId="18">
    <w:abstractNumId w:val="6"/>
  </w:num>
  <w:num w:numId="19">
    <w:abstractNumId w:val="4"/>
  </w:num>
  <w:num w:numId="20">
    <w:abstractNumId w:val="14"/>
  </w:num>
  <w:num w:numId="21">
    <w:abstractNumId w:val="11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B2"/>
    <w:rsid w:val="000136B2"/>
    <w:rsid w:val="0001372F"/>
    <w:rsid w:val="00061FEB"/>
    <w:rsid w:val="00063A58"/>
    <w:rsid w:val="000A39A3"/>
    <w:rsid w:val="000D7FC3"/>
    <w:rsid w:val="000E50CA"/>
    <w:rsid w:val="00100976"/>
    <w:rsid w:val="00123074"/>
    <w:rsid w:val="00182CF5"/>
    <w:rsid w:val="00186F51"/>
    <w:rsid w:val="00190A2C"/>
    <w:rsid w:val="00203BE8"/>
    <w:rsid w:val="002079BE"/>
    <w:rsid w:val="002116BD"/>
    <w:rsid w:val="00247929"/>
    <w:rsid w:val="002A6634"/>
    <w:rsid w:val="002C13D0"/>
    <w:rsid w:val="002E7A46"/>
    <w:rsid w:val="002F2B99"/>
    <w:rsid w:val="00304C63"/>
    <w:rsid w:val="00333726"/>
    <w:rsid w:val="003A108D"/>
    <w:rsid w:val="003A4097"/>
    <w:rsid w:val="003C7237"/>
    <w:rsid w:val="003F4DCE"/>
    <w:rsid w:val="00414D31"/>
    <w:rsid w:val="00437612"/>
    <w:rsid w:val="00452278"/>
    <w:rsid w:val="00463760"/>
    <w:rsid w:val="004B30E5"/>
    <w:rsid w:val="0050167D"/>
    <w:rsid w:val="00505B23"/>
    <w:rsid w:val="00583EF3"/>
    <w:rsid w:val="005B3ED3"/>
    <w:rsid w:val="005C164F"/>
    <w:rsid w:val="005C2BD1"/>
    <w:rsid w:val="005D40F6"/>
    <w:rsid w:val="005E479B"/>
    <w:rsid w:val="005E6BF2"/>
    <w:rsid w:val="005F39A9"/>
    <w:rsid w:val="00663D20"/>
    <w:rsid w:val="006724B0"/>
    <w:rsid w:val="006A0FAC"/>
    <w:rsid w:val="006B6127"/>
    <w:rsid w:val="006C7E0D"/>
    <w:rsid w:val="006D137D"/>
    <w:rsid w:val="00731BDB"/>
    <w:rsid w:val="0075149C"/>
    <w:rsid w:val="007703E3"/>
    <w:rsid w:val="007A6828"/>
    <w:rsid w:val="007C4C8A"/>
    <w:rsid w:val="007D1F05"/>
    <w:rsid w:val="007F2788"/>
    <w:rsid w:val="00801399"/>
    <w:rsid w:val="00835861"/>
    <w:rsid w:val="008808C6"/>
    <w:rsid w:val="008907B2"/>
    <w:rsid w:val="00896723"/>
    <w:rsid w:val="008B4FD1"/>
    <w:rsid w:val="008E2E86"/>
    <w:rsid w:val="00911CD8"/>
    <w:rsid w:val="00934CAB"/>
    <w:rsid w:val="0096204F"/>
    <w:rsid w:val="009E4971"/>
    <w:rsid w:val="009F2B5D"/>
    <w:rsid w:val="00A06CF2"/>
    <w:rsid w:val="00A42FD0"/>
    <w:rsid w:val="00A913C2"/>
    <w:rsid w:val="00AD65E4"/>
    <w:rsid w:val="00B0372E"/>
    <w:rsid w:val="00B07683"/>
    <w:rsid w:val="00B175AE"/>
    <w:rsid w:val="00B31A5D"/>
    <w:rsid w:val="00B40751"/>
    <w:rsid w:val="00B56739"/>
    <w:rsid w:val="00B67A54"/>
    <w:rsid w:val="00B93BF7"/>
    <w:rsid w:val="00BA1B4C"/>
    <w:rsid w:val="00BA7268"/>
    <w:rsid w:val="00BB3C01"/>
    <w:rsid w:val="00BC3766"/>
    <w:rsid w:val="00BD7ADD"/>
    <w:rsid w:val="00C00F9D"/>
    <w:rsid w:val="00C05BFE"/>
    <w:rsid w:val="00C07C33"/>
    <w:rsid w:val="00C170FF"/>
    <w:rsid w:val="00C77B48"/>
    <w:rsid w:val="00C85D89"/>
    <w:rsid w:val="00CA5968"/>
    <w:rsid w:val="00CA6860"/>
    <w:rsid w:val="00D0460F"/>
    <w:rsid w:val="00D07849"/>
    <w:rsid w:val="00D42FA5"/>
    <w:rsid w:val="00D6168A"/>
    <w:rsid w:val="00D87A5A"/>
    <w:rsid w:val="00DF45F7"/>
    <w:rsid w:val="00E250EC"/>
    <w:rsid w:val="00E53B45"/>
    <w:rsid w:val="00EA023F"/>
    <w:rsid w:val="00EB0F65"/>
    <w:rsid w:val="00EB477F"/>
    <w:rsid w:val="00EB5EF5"/>
    <w:rsid w:val="00EC1E12"/>
    <w:rsid w:val="00EF61F9"/>
    <w:rsid w:val="00F13F98"/>
    <w:rsid w:val="00F83B45"/>
    <w:rsid w:val="00FB6BFF"/>
    <w:rsid w:val="00FB7DA3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5D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136B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Standard"/>
    <w:rsid w:val="000136B2"/>
    <w:pPr>
      <w:ind w:left="720"/>
    </w:pPr>
  </w:style>
  <w:style w:type="numbering" w:customStyle="1" w:styleId="WWNum9">
    <w:name w:val="WWNum9"/>
    <w:basedOn w:val="Bezlisty"/>
    <w:rsid w:val="000136B2"/>
    <w:pPr>
      <w:numPr>
        <w:numId w:val="1"/>
      </w:numPr>
    </w:pPr>
  </w:style>
  <w:style w:type="numbering" w:customStyle="1" w:styleId="WWNum11">
    <w:name w:val="WWNum11"/>
    <w:basedOn w:val="Bezlisty"/>
    <w:rsid w:val="000136B2"/>
    <w:pPr>
      <w:numPr>
        <w:numId w:val="2"/>
      </w:numPr>
    </w:pPr>
  </w:style>
  <w:style w:type="numbering" w:customStyle="1" w:styleId="WWNum12">
    <w:name w:val="WWNum12"/>
    <w:basedOn w:val="Bezlisty"/>
    <w:rsid w:val="000136B2"/>
    <w:pPr>
      <w:numPr>
        <w:numId w:val="3"/>
      </w:numPr>
    </w:pPr>
  </w:style>
  <w:style w:type="numbering" w:customStyle="1" w:styleId="WWNum15">
    <w:name w:val="WWNum15"/>
    <w:basedOn w:val="Bezlisty"/>
    <w:rsid w:val="000136B2"/>
    <w:pPr>
      <w:numPr>
        <w:numId w:val="4"/>
      </w:numPr>
    </w:pPr>
  </w:style>
  <w:style w:type="numbering" w:customStyle="1" w:styleId="WWNum19">
    <w:name w:val="WWNum19"/>
    <w:basedOn w:val="Bezlisty"/>
    <w:rsid w:val="000136B2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BA1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B4C"/>
  </w:style>
  <w:style w:type="paragraph" w:styleId="Stopka">
    <w:name w:val="footer"/>
    <w:basedOn w:val="Normalny"/>
    <w:link w:val="StopkaZnak"/>
    <w:uiPriority w:val="99"/>
    <w:unhideWhenUsed/>
    <w:rsid w:val="00BA1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B4C"/>
  </w:style>
  <w:style w:type="character" w:styleId="Hipercze">
    <w:name w:val="Hyperlink"/>
    <w:basedOn w:val="Domylnaczcionkaakapitu"/>
    <w:uiPriority w:val="99"/>
    <w:unhideWhenUsed/>
    <w:rsid w:val="00BA1B4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7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A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A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7A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A5A"/>
    <w:rPr>
      <w:rFonts w:ascii="Segoe UI" w:hAnsi="Segoe UI" w:cs="Segoe UI"/>
      <w:sz w:val="18"/>
      <w:szCs w:val="18"/>
    </w:rPr>
  </w:style>
  <w:style w:type="paragraph" w:customStyle="1" w:styleId="citation">
    <w:name w:val="citation"/>
    <w:basedOn w:val="Normalny"/>
    <w:rsid w:val="006A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A0FAC"/>
    <w:rPr>
      <w:i/>
      <w:iCs/>
    </w:rPr>
  </w:style>
  <w:style w:type="paragraph" w:styleId="Poprawka">
    <w:name w:val="Revision"/>
    <w:hidden/>
    <w:uiPriority w:val="99"/>
    <w:semiHidden/>
    <w:rsid w:val="00190A2C"/>
    <w:pPr>
      <w:spacing w:after="0" w:line="240" w:lineRule="auto"/>
    </w:pPr>
  </w:style>
  <w:style w:type="character" w:customStyle="1" w:styleId="addmd">
    <w:name w:val="addmd"/>
    <w:basedOn w:val="Domylnaczcionkaakapitu"/>
    <w:rsid w:val="00B07683"/>
  </w:style>
  <w:style w:type="paragraph" w:styleId="NormalnyWeb">
    <w:name w:val="Normal (Web)"/>
    <w:basedOn w:val="Normalny"/>
    <w:uiPriority w:val="99"/>
    <w:semiHidden/>
    <w:unhideWhenUsed/>
    <w:rsid w:val="0058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ample-citation">
    <w:name w:val="sample-citation"/>
    <w:basedOn w:val="Normalny"/>
    <w:rsid w:val="008E2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3BF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D7FC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F45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136B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Standard"/>
    <w:rsid w:val="000136B2"/>
    <w:pPr>
      <w:ind w:left="720"/>
    </w:pPr>
  </w:style>
  <w:style w:type="numbering" w:customStyle="1" w:styleId="WWNum9">
    <w:name w:val="WWNum9"/>
    <w:basedOn w:val="Bezlisty"/>
    <w:rsid w:val="000136B2"/>
    <w:pPr>
      <w:numPr>
        <w:numId w:val="1"/>
      </w:numPr>
    </w:pPr>
  </w:style>
  <w:style w:type="numbering" w:customStyle="1" w:styleId="WWNum11">
    <w:name w:val="WWNum11"/>
    <w:basedOn w:val="Bezlisty"/>
    <w:rsid w:val="000136B2"/>
    <w:pPr>
      <w:numPr>
        <w:numId w:val="2"/>
      </w:numPr>
    </w:pPr>
  </w:style>
  <w:style w:type="numbering" w:customStyle="1" w:styleId="WWNum12">
    <w:name w:val="WWNum12"/>
    <w:basedOn w:val="Bezlisty"/>
    <w:rsid w:val="000136B2"/>
    <w:pPr>
      <w:numPr>
        <w:numId w:val="3"/>
      </w:numPr>
    </w:pPr>
  </w:style>
  <w:style w:type="numbering" w:customStyle="1" w:styleId="WWNum15">
    <w:name w:val="WWNum15"/>
    <w:basedOn w:val="Bezlisty"/>
    <w:rsid w:val="000136B2"/>
    <w:pPr>
      <w:numPr>
        <w:numId w:val="4"/>
      </w:numPr>
    </w:pPr>
  </w:style>
  <w:style w:type="numbering" w:customStyle="1" w:styleId="WWNum19">
    <w:name w:val="WWNum19"/>
    <w:basedOn w:val="Bezlisty"/>
    <w:rsid w:val="000136B2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BA1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B4C"/>
  </w:style>
  <w:style w:type="paragraph" w:styleId="Stopka">
    <w:name w:val="footer"/>
    <w:basedOn w:val="Normalny"/>
    <w:link w:val="StopkaZnak"/>
    <w:uiPriority w:val="99"/>
    <w:unhideWhenUsed/>
    <w:rsid w:val="00BA1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B4C"/>
  </w:style>
  <w:style w:type="character" w:styleId="Hipercze">
    <w:name w:val="Hyperlink"/>
    <w:basedOn w:val="Domylnaczcionkaakapitu"/>
    <w:uiPriority w:val="99"/>
    <w:unhideWhenUsed/>
    <w:rsid w:val="00BA1B4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7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A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A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7A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A5A"/>
    <w:rPr>
      <w:rFonts w:ascii="Segoe UI" w:hAnsi="Segoe UI" w:cs="Segoe UI"/>
      <w:sz w:val="18"/>
      <w:szCs w:val="18"/>
    </w:rPr>
  </w:style>
  <w:style w:type="paragraph" w:customStyle="1" w:styleId="citation">
    <w:name w:val="citation"/>
    <w:basedOn w:val="Normalny"/>
    <w:rsid w:val="006A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A0FAC"/>
    <w:rPr>
      <w:i/>
      <w:iCs/>
    </w:rPr>
  </w:style>
  <w:style w:type="paragraph" w:styleId="Poprawka">
    <w:name w:val="Revision"/>
    <w:hidden/>
    <w:uiPriority w:val="99"/>
    <w:semiHidden/>
    <w:rsid w:val="00190A2C"/>
    <w:pPr>
      <w:spacing w:after="0" w:line="240" w:lineRule="auto"/>
    </w:pPr>
  </w:style>
  <w:style w:type="character" w:customStyle="1" w:styleId="addmd">
    <w:name w:val="addmd"/>
    <w:basedOn w:val="Domylnaczcionkaakapitu"/>
    <w:rsid w:val="00B07683"/>
  </w:style>
  <w:style w:type="paragraph" w:styleId="NormalnyWeb">
    <w:name w:val="Normal (Web)"/>
    <w:basedOn w:val="Normalny"/>
    <w:uiPriority w:val="99"/>
    <w:semiHidden/>
    <w:unhideWhenUsed/>
    <w:rsid w:val="0058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ample-citation">
    <w:name w:val="sample-citation"/>
    <w:basedOn w:val="Normalny"/>
    <w:rsid w:val="008E2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3BF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D7FC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F45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mdb.com" TargetMode="External"/><Relationship Id="rId18" Type="http://schemas.openxmlformats.org/officeDocument/2006/relationships/hyperlink" Target="https://doi.org/10.13110/marvelstales.31.1.0024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heguardian.com/film/2017/mar/16/beauty-and-the-beast-disney-gay-scene-malaysi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oi.org/10.13110/marvelstales.31.1.0024" TargetMode="External"/><Relationship Id="rId17" Type="http://schemas.openxmlformats.org/officeDocument/2006/relationships/hyperlink" Target="http://www.amazon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75/swll.13.01kum" TargetMode="External"/><Relationship Id="rId20" Type="http://schemas.openxmlformats.org/officeDocument/2006/relationships/hyperlink" Target="http://encyklopediadziecinstwa.pl/index.php?title=Kolekcjonerstwo_dzieci%C4%99c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12775/LC.2017.053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theguardian.com/film/2017/mar/16/beauty-and-the-beast-disney-gay-scene-malaysi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mazon.com" TargetMode="External"/><Relationship Id="rId19" Type="http://schemas.openxmlformats.org/officeDocument/2006/relationships/hyperlink" Target="http://www.imdb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i.org/10.1075/swll.13.01kum" TargetMode="External"/><Relationship Id="rId14" Type="http://schemas.openxmlformats.org/officeDocument/2006/relationships/hyperlink" Target="http://encyklopediadziecinstwa.pl/index.php?title=Kolekcjonerstwo_dzieci%C4%99ce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A75E8-C9E8-43A3-AD55-2F0212306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Kostecka</dc:creator>
  <cp:lastModifiedBy>Weronika Kostecka</cp:lastModifiedBy>
  <cp:revision>2</cp:revision>
  <cp:lastPrinted>2018-01-23T12:37:00Z</cp:lastPrinted>
  <dcterms:created xsi:type="dcterms:W3CDTF">2019-07-12T08:38:00Z</dcterms:created>
  <dcterms:modified xsi:type="dcterms:W3CDTF">2019-07-12T08:38:00Z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http://www.zotero.org/styles/polish_for_humanities</vt:lpwstr>
  </property>
  <property fmtid="{D5CDD505-2E9C-101B-9397-08002B2CF9AE}" pid="21" name="Mendeley Recent Style Name 9_1">
    <vt:lpwstr>Polish Citation Style for Humanities and Social Sciences  (Note with Bibliography)</vt:lpwstr>
  </property>
</Properties>
</file>